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3BBBB" w14:textId="77777777" w:rsidR="00904195" w:rsidRDefault="00904195" w:rsidP="000A6C44">
      <w:pPr>
        <w:ind w:right="480"/>
        <w:jc w:val="both"/>
      </w:pPr>
      <w:r>
        <w:t xml:space="preserve">An die </w:t>
      </w:r>
    </w:p>
    <w:p w14:paraId="43F5A004" w14:textId="77777777" w:rsidR="00904195" w:rsidRDefault="000B1D0F" w:rsidP="000A6C44">
      <w:pPr>
        <w:ind w:right="480"/>
        <w:jc w:val="both"/>
      </w:pPr>
      <w:r>
        <w:t xml:space="preserve">Landesbünde und Mitgliedsgewerkschaften </w:t>
      </w:r>
    </w:p>
    <w:p w14:paraId="4108A44D" w14:textId="77777777" w:rsidR="000B1D0F" w:rsidRDefault="000B1D0F" w:rsidP="000A6C44">
      <w:pPr>
        <w:ind w:right="480"/>
        <w:jc w:val="both"/>
      </w:pPr>
      <w:r>
        <w:t xml:space="preserve">des dbb beamtenbund und tarifunion </w:t>
      </w:r>
    </w:p>
    <w:p w14:paraId="0393F891" w14:textId="77777777" w:rsidR="00904195" w:rsidRDefault="00904195" w:rsidP="000A6C44">
      <w:pPr>
        <w:ind w:right="480"/>
        <w:jc w:val="both"/>
      </w:pPr>
    </w:p>
    <w:p w14:paraId="5EB376F1" w14:textId="77777777" w:rsidR="00904195" w:rsidRPr="000B1D0F" w:rsidRDefault="00904195" w:rsidP="000A6C44">
      <w:pPr>
        <w:ind w:right="480"/>
        <w:jc w:val="both"/>
        <w:rPr>
          <w:u w:val="single"/>
        </w:rPr>
      </w:pPr>
      <w:r w:rsidRPr="000B1D0F">
        <w:rPr>
          <w:u w:val="single"/>
        </w:rPr>
        <w:t xml:space="preserve">- je besonders - </w:t>
      </w:r>
    </w:p>
    <w:p w14:paraId="25E6D218" w14:textId="77777777" w:rsidR="00904195" w:rsidRPr="003A4DC2" w:rsidRDefault="00904195" w:rsidP="000A6C44">
      <w:pPr>
        <w:ind w:right="480"/>
        <w:jc w:val="both"/>
      </w:pPr>
    </w:p>
    <w:p w14:paraId="2316B4B1" w14:textId="103C38DD" w:rsidR="00904195" w:rsidRPr="005C3183" w:rsidRDefault="003A4DC2" w:rsidP="00187B50">
      <w:pPr>
        <w:tabs>
          <w:tab w:val="left" w:pos="7200"/>
        </w:tabs>
        <w:ind w:right="-512"/>
        <w:jc w:val="both"/>
        <w:rPr>
          <w:szCs w:val="24"/>
        </w:rPr>
      </w:pPr>
      <w:r>
        <w:rPr>
          <w:sz w:val="23"/>
        </w:rPr>
        <w:tab/>
      </w:r>
      <w:r w:rsidRPr="005C3183">
        <w:rPr>
          <w:szCs w:val="24"/>
        </w:rPr>
        <w:t xml:space="preserve">Berlin, </w:t>
      </w:r>
      <w:r w:rsidR="003A1427">
        <w:rPr>
          <w:szCs w:val="24"/>
        </w:rPr>
        <w:t>1</w:t>
      </w:r>
      <w:r w:rsidR="00870344">
        <w:rPr>
          <w:szCs w:val="24"/>
        </w:rPr>
        <w:t>8</w:t>
      </w:r>
      <w:r w:rsidR="008D31A8">
        <w:rPr>
          <w:szCs w:val="24"/>
        </w:rPr>
        <w:t>.</w:t>
      </w:r>
      <w:r w:rsidR="00187B50">
        <w:rPr>
          <w:szCs w:val="24"/>
        </w:rPr>
        <w:t xml:space="preserve"> Dezember </w:t>
      </w:r>
      <w:r w:rsidR="00DD0752">
        <w:rPr>
          <w:szCs w:val="24"/>
        </w:rPr>
        <w:t>2024</w:t>
      </w:r>
    </w:p>
    <w:p w14:paraId="391EB933" w14:textId="4094DA9E" w:rsidR="00904195" w:rsidRPr="00263B3E" w:rsidRDefault="003A4DC2" w:rsidP="00187B50">
      <w:pPr>
        <w:tabs>
          <w:tab w:val="left" w:pos="7200"/>
        </w:tabs>
        <w:ind w:right="-512"/>
        <w:jc w:val="both"/>
        <w:rPr>
          <w:sz w:val="20"/>
        </w:rPr>
      </w:pPr>
      <w:r w:rsidRPr="005C3183">
        <w:rPr>
          <w:szCs w:val="24"/>
        </w:rPr>
        <w:tab/>
      </w:r>
      <w:r w:rsidRPr="00263B3E">
        <w:rPr>
          <w:sz w:val="20"/>
        </w:rPr>
        <w:t>GB-</w:t>
      </w:r>
      <w:r w:rsidR="00A03F85">
        <w:rPr>
          <w:sz w:val="20"/>
        </w:rPr>
        <w:t>1</w:t>
      </w:r>
      <w:r w:rsidRPr="00263B3E">
        <w:rPr>
          <w:sz w:val="20"/>
        </w:rPr>
        <w:t>-</w:t>
      </w:r>
      <w:r w:rsidR="00870344">
        <w:rPr>
          <w:sz w:val="20"/>
        </w:rPr>
        <w:t>AB-bö</w:t>
      </w:r>
    </w:p>
    <w:p w14:paraId="6AB3BDA1" w14:textId="21DA5A7C" w:rsidR="00904195" w:rsidRPr="00263B3E" w:rsidRDefault="003A4DC2" w:rsidP="00187B50">
      <w:pPr>
        <w:tabs>
          <w:tab w:val="left" w:pos="7200"/>
        </w:tabs>
        <w:ind w:right="-512"/>
        <w:jc w:val="both"/>
        <w:rPr>
          <w:sz w:val="20"/>
        </w:rPr>
      </w:pPr>
      <w:r w:rsidRPr="00263B3E">
        <w:rPr>
          <w:sz w:val="20"/>
        </w:rPr>
        <w:tab/>
      </w:r>
      <w:r w:rsidR="00904195" w:rsidRPr="00263B3E">
        <w:rPr>
          <w:sz w:val="20"/>
        </w:rPr>
        <w:t>Durchwahl</w:t>
      </w:r>
      <w:r w:rsidR="00080FF5" w:rsidRPr="00263B3E">
        <w:rPr>
          <w:sz w:val="20"/>
        </w:rPr>
        <w:t>: -5</w:t>
      </w:r>
      <w:r w:rsidR="00870344">
        <w:rPr>
          <w:sz w:val="20"/>
        </w:rPr>
        <w:t>2</w:t>
      </w:r>
      <w:r w:rsidR="00080FF5" w:rsidRPr="00263B3E">
        <w:rPr>
          <w:sz w:val="20"/>
        </w:rPr>
        <w:t>0</w:t>
      </w:r>
      <w:r w:rsidR="00A35F58">
        <w:rPr>
          <w:sz w:val="20"/>
        </w:rPr>
        <w:t>1</w:t>
      </w:r>
    </w:p>
    <w:p w14:paraId="0C7EBD1B" w14:textId="2D91FA9A" w:rsidR="00904195" w:rsidRPr="00026010" w:rsidRDefault="003A4DC2" w:rsidP="00187B50">
      <w:pPr>
        <w:tabs>
          <w:tab w:val="left" w:pos="7200"/>
        </w:tabs>
        <w:ind w:right="-512"/>
        <w:jc w:val="both"/>
        <w:rPr>
          <w:b/>
          <w:bCs/>
          <w:szCs w:val="24"/>
        </w:rPr>
      </w:pPr>
      <w:r w:rsidRPr="00263B3E">
        <w:rPr>
          <w:b/>
          <w:bCs/>
          <w:sz w:val="20"/>
        </w:rPr>
        <w:tab/>
      </w:r>
      <w:r w:rsidR="00A03F85" w:rsidRPr="00026010">
        <w:rPr>
          <w:b/>
          <w:bCs/>
          <w:szCs w:val="24"/>
        </w:rPr>
        <w:t>Info-Nr.:</w:t>
      </w:r>
      <w:r w:rsidR="009F18CE">
        <w:rPr>
          <w:b/>
          <w:bCs/>
          <w:szCs w:val="24"/>
        </w:rPr>
        <w:t xml:space="preserve"> 33</w:t>
      </w:r>
      <w:r w:rsidR="00A03F85" w:rsidRPr="00026010">
        <w:rPr>
          <w:b/>
          <w:bCs/>
          <w:szCs w:val="24"/>
        </w:rPr>
        <w:t>/202</w:t>
      </w:r>
      <w:r w:rsidR="00A35F58">
        <w:rPr>
          <w:b/>
          <w:bCs/>
          <w:szCs w:val="24"/>
        </w:rPr>
        <w:t>4</w:t>
      </w:r>
    </w:p>
    <w:p w14:paraId="52221837" w14:textId="77777777" w:rsidR="005770B8" w:rsidRDefault="005770B8" w:rsidP="000A6C44">
      <w:pPr>
        <w:pStyle w:val="Textkrper"/>
        <w:ind w:right="480"/>
        <w:rPr>
          <w:rFonts w:ascii="TheSansOffice" w:hAnsi="TheSansOffice"/>
          <w:b w:val="0"/>
          <w:bCs w:val="0"/>
          <w:sz w:val="24"/>
        </w:rPr>
      </w:pPr>
    </w:p>
    <w:p w14:paraId="7D532B79" w14:textId="5E5236EA" w:rsidR="000A6C44" w:rsidRDefault="006312EF" w:rsidP="002A398B">
      <w:pPr>
        <w:jc w:val="both"/>
        <w:rPr>
          <w:b/>
          <w:bCs/>
        </w:rPr>
      </w:pPr>
      <w:r>
        <w:rPr>
          <w:b/>
          <w:bCs/>
        </w:rPr>
        <w:t>EuGH: Überstundenzuschläge für Teilzeitkräfte</w:t>
      </w:r>
      <w:r w:rsidR="001436DA">
        <w:rPr>
          <w:b/>
          <w:bCs/>
        </w:rPr>
        <w:t xml:space="preserve"> </w:t>
      </w:r>
    </w:p>
    <w:p w14:paraId="6DA3DC83" w14:textId="54BA7333" w:rsidR="00870344" w:rsidRPr="00712654" w:rsidRDefault="00870344" w:rsidP="002A398B">
      <w:pPr>
        <w:jc w:val="both"/>
        <w:rPr>
          <w:b/>
          <w:bCs/>
        </w:rPr>
      </w:pPr>
      <w:r>
        <w:rPr>
          <w:b/>
          <w:bCs/>
        </w:rPr>
        <w:t>vgl. Info Nr. 29/2024</w:t>
      </w:r>
    </w:p>
    <w:p w14:paraId="7AB7CC48" w14:textId="77777777" w:rsidR="003A4DC2" w:rsidRDefault="003A4DC2" w:rsidP="000A6C44">
      <w:pPr>
        <w:pStyle w:val="Textkrper"/>
        <w:ind w:right="480"/>
        <w:rPr>
          <w:rFonts w:ascii="TheSansOffice" w:hAnsi="TheSansOffice"/>
          <w:b w:val="0"/>
          <w:bCs w:val="0"/>
          <w:sz w:val="24"/>
        </w:rPr>
      </w:pPr>
    </w:p>
    <w:p w14:paraId="7824F065" w14:textId="77777777" w:rsidR="00DD0752" w:rsidRDefault="00DD0752" w:rsidP="000A6C44">
      <w:pPr>
        <w:pStyle w:val="Textkrper"/>
        <w:ind w:right="480"/>
        <w:rPr>
          <w:rFonts w:ascii="TheSansOffice" w:hAnsi="TheSansOffice"/>
          <w:b w:val="0"/>
          <w:bCs w:val="0"/>
          <w:sz w:val="24"/>
        </w:rPr>
      </w:pPr>
    </w:p>
    <w:p w14:paraId="3C2757D7" w14:textId="77777777" w:rsidR="000A6C44" w:rsidRDefault="000A6C44" w:rsidP="000A6C44">
      <w:pPr>
        <w:jc w:val="both"/>
      </w:pPr>
      <w:r>
        <w:t xml:space="preserve">Sehr geehrte Kolleginnen und Kollegen, </w:t>
      </w:r>
    </w:p>
    <w:p w14:paraId="2BAA23DC" w14:textId="77777777" w:rsidR="008D31A8" w:rsidRDefault="008D31A8" w:rsidP="000A6C44">
      <w:pPr>
        <w:ind w:right="480"/>
        <w:jc w:val="both"/>
      </w:pPr>
    </w:p>
    <w:p w14:paraId="44C9B57D" w14:textId="0069CDC5" w:rsidR="00AB1CEB" w:rsidRDefault="001076B6" w:rsidP="001076B6">
      <w:pPr>
        <w:jc w:val="both"/>
        <w:rPr>
          <w:szCs w:val="24"/>
        </w:rPr>
      </w:pPr>
      <w:r w:rsidRPr="001076B6">
        <w:rPr>
          <w:szCs w:val="24"/>
        </w:rPr>
        <w:t xml:space="preserve">eine Entscheidung des Bundesarbeitsgerichts (BAG) zu Überstundenzuschlägen von Teilzeitbeschäftigten vom 5. Dezember 2024 (Aktenzeichen 8 AZR 370/20), die auf </w:t>
      </w:r>
      <w:r w:rsidR="009F18CE">
        <w:rPr>
          <w:szCs w:val="24"/>
        </w:rPr>
        <w:t xml:space="preserve">eine </w:t>
      </w:r>
      <w:r w:rsidRPr="001076B6">
        <w:rPr>
          <w:szCs w:val="24"/>
        </w:rPr>
        <w:t xml:space="preserve">Entscheidung </w:t>
      </w:r>
      <w:r w:rsidR="00AB1CEB">
        <w:rPr>
          <w:szCs w:val="24"/>
        </w:rPr>
        <w:t xml:space="preserve">des </w:t>
      </w:r>
      <w:r w:rsidRPr="001076B6">
        <w:rPr>
          <w:szCs w:val="24"/>
        </w:rPr>
        <w:t>Europäischen Gerichtshofs vom 29. Juli 2024 (Aktenzeichen C-184/22 und C</w:t>
      </w:r>
      <w:r w:rsidR="00054F00">
        <w:rPr>
          <w:szCs w:val="24"/>
        </w:rPr>
        <w:t>-</w:t>
      </w:r>
      <w:r w:rsidRPr="001076B6">
        <w:rPr>
          <w:szCs w:val="24"/>
        </w:rPr>
        <w:t>185-22) Bezug nimmt</w:t>
      </w:r>
      <w:r w:rsidR="00AB1CEB">
        <w:rPr>
          <w:szCs w:val="24"/>
        </w:rPr>
        <w:t xml:space="preserve">, ist auf große Aufmerksamkeit gestoßen. Viele Kolleginnen und Kollegen vermuten, dass diese Entscheidungen zu finanziellen </w:t>
      </w:r>
      <w:r w:rsidR="00187B50">
        <w:rPr>
          <w:szCs w:val="24"/>
        </w:rPr>
        <w:t xml:space="preserve">Verbesserungen </w:t>
      </w:r>
      <w:r w:rsidR="00AB1CEB">
        <w:rPr>
          <w:szCs w:val="24"/>
        </w:rPr>
        <w:t xml:space="preserve">führen könnten. </w:t>
      </w:r>
    </w:p>
    <w:p w14:paraId="220C4D3D" w14:textId="77777777" w:rsidR="00807F7C" w:rsidRDefault="00807F7C" w:rsidP="001076B6">
      <w:pPr>
        <w:jc w:val="both"/>
        <w:rPr>
          <w:szCs w:val="24"/>
        </w:rPr>
      </w:pPr>
    </w:p>
    <w:p w14:paraId="747D5953" w14:textId="17F1C7F0" w:rsidR="00AB1CEB" w:rsidRDefault="00AB1CEB" w:rsidP="001076B6">
      <w:pPr>
        <w:jc w:val="both"/>
        <w:rPr>
          <w:szCs w:val="24"/>
        </w:rPr>
      </w:pPr>
      <w:r>
        <w:rPr>
          <w:szCs w:val="24"/>
        </w:rPr>
        <w:t>Es ist deshalb geboten, hier einige Einordnungen und Klarstellungen aus Sicht der Statusgruppe der Beamtinnen und Beamten vorzunehmen.</w:t>
      </w:r>
    </w:p>
    <w:p w14:paraId="7C123DF1" w14:textId="77777777" w:rsidR="00AB1CEB" w:rsidRDefault="00AB1CEB" w:rsidP="001076B6">
      <w:pPr>
        <w:jc w:val="both"/>
        <w:rPr>
          <w:szCs w:val="24"/>
        </w:rPr>
      </w:pPr>
    </w:p>
    <w:p w14:paraId="4068AF5E" w14:textId="6DD53858" w:rsidR="00AB1CEB" w:rsidRPr="00AB1CEB" w:rsidRDefault="00AB1CEB" w:rsidP="001076B6">
      <w:pPr>
        <w:jc w:val="both"/>
        <w:rPr>
          <w:b/>
          <w:bCs/>
          <w:szCs w:val="24"/>
        </w:rPr>
      </w:pPr>
      <w:r w:rsidRPr="00AB1CEB">
        <w:rPr>
          <w:b/>
          <w:bCs/>
          <w:szCs w:val="24"/>
        </w:rPr>
        <w:t>Vorbeme</w:t>
      </w:r>
      <w:r>
        <w:rPr>
          <w:b/>
          <w:bCs/>
          <w:szCs w:val="24"/>
        </w:rPr>
        <w:t>r</w:t>
      </w:r>
      <w:r w:rsidRPr="00AB1CEB">
        <w:rPr>
          <w:b/>
          <w:bCs/>
          <w:szCs w:val="24"/>
        </w:rPr>
        <w:t>kung</w:t>
      </w:r>
    </w:p>
    <w:p w14:paraId="0E6D09F9" w14:textId="77777777" w:rsidR="00AB1CEB" w:rsidRDefault="00AB1CEB" w:rsidP="001076B6">
      <w:pPr>
        <w:jc w:val="both"/>
        <w:rPr>
          <w:szCs w:val="24"/>
        </w:rPr>
      </w:pPr>
    </w:p>
    <w:p w14:paraId="540995FE" w14:textId="6AC64CA2" w:rsidR="00DD3E3D" w:rsidRDefault="00AB1CEB" w:rsidP="001076B6">
      <w:pPr>
        <w:jc w:val="both"/>
        <w:rPr>
          <w:szCs w:val="24"/>
        </w:rPr>
      </w:pPr>
      <w:r>
        <w:rPr>
          <w:szCs w:val="24"/>
        </w:rPr>
        <w:t>Wichtig und zentral ist zunächst, dass d</w:t>
      </w:r>
      <w:r w:rsidR="001076B6" w:rsidRPr="001076B6">
        <w:rPr>
          <w:szCs w:val="24"/>
        </w:rPr>
        <w:t xml:space="preserve">ie Entscheidungsgründe des BAG </w:t>
      </w:r>
      <w:r>
        <w:rPr>
          <w:szCs w:val="24"/>
        </w:rPr>
        <w:t>d</w:t>
      </w:r>
      <w:r w:rsidR="001076B6" w:rsidRPr="001076B6">
        <w:rPr>
          <w:szCs w:val="24"/>
        </w:rPr>
        <w:t>erzeit noch nicht veröffentlicht</w:t>
      </w:r>
      <w:r>
        <w:rPr>
          <w:szCs w:val="24"/>
        </w:rPr>
        <w:t xml:space="preserve"> sind</w:t>
      </w:r>
      <w:r w:rsidR="001076B6" w:rsidRPr="001076B6">
        <w:rPr>
          <w:szCs w:val="24"/>
        </w:rPr>
        <w:t>.</w:t>
      </w:r>
      <w:r w:rsidRPr="00AB1CEB">
        <w:rPr>
          <w:szCs w:val="24"/>
        </w:rPr>
        <w:t xml:space="preserve"> </w:t>
      </w:r>
      <w:r>
        <w:rPr>
          <w:szCs w:val="24"/>
        </w:rPr>
        <w:t>Es liegt bislang ausschließlich eine Pressemitteilung des BAG vom 5.</w:t>
      </w:r>
      <w:r w:rsidR="00054F00">
        <w:rPr>
          <w:szCs w:val="24"/>
        </w:rPr>
        <w:t> Dezember </w:t>
      </w:r>
      <w:r>
        <w:rPr>
          <w:szCs w:val="24"/>
        </w:rPr>
        <w:t xml:space="preserve">2024 (34/24 – Diskriminierung von Teilzeitbeschäftigten bei Überstundenzuschlägen) vor. Daher sind alle nachfolgenden Anmerkungen und </w:t>
      </w:r>
      <w:r w:rsidR="00DD3E3D">
        <w:rPr>
          <w:szCs w:val="24"/>
        </w:rPr>
        <w:t>Einordnungen nicht abschließend und weitgehend unverbindlich</w:t>
      </w:r>
      <w:r w:rsidR="00187B50">
        <w:rPr>
          <w:szCs w:val="24"/>
        </w:rPr>
        <w:t>.</w:t>
      </w:r>
    </w:p>
    <w:p w14:paraId="48EC5A01" w14:textId="77777777" w:rsidR="00DD3E3D" w:rsidRDefault="00DD3E3D" w:rsidP="001076B6">
      <w:pPr>
        <w:jc w:val="both"/>
        <w:rPr>
          <w:szCs w:val="24"/>
        </w:rPr>
      </w:pPr>
    </w:p>
    <w:p w14:paraId="2F4445B7" w14:textId="21077555" w:rsidR="00DD3E3D" w:rsidRPr="00DD3E3D" w:rsidRDefault="00DD3E3D" w:rsidP="001076B6">
      <w:pPr>
        <w:jc w:val="both"/>
        <w:rPr>
          <w:b/>
          <w:bCs/>
          <w:szCs w:val="24"/>
        </w:rPr>
      </w:pPr>
      <w:r w:rsidRPr="00DD3E3D">
        <w:rPr>
          <w:b/>
          <w:bCs/>
          <w:szCs w:val="24"/>
        </w:rPr>
        <w:t>Weitere Vorbemerkung</w:t>
      </w:r>
      <w:r>
        <w:rPr>
          <w:b/>
          <w:bCs/>
          <w:szCs w:val="24"/>
        </w:rPr>
        <w:t>en</w:t>
      </w:r>
    </w:p>
    <w:p w14:paraId="71CC34E8" w14:textId="77777777" w:rsidR="00DD3E3D" w:rsidRDefault="00DD3E3D" w:rsidP="001076B6">
      <w:pPr>
        <w:jc w:val="both"/>
        <w:rPr>
          <w:szCs w:val="24"/>
        </w:rPr>
      </w:pPr>
    </w:p>
    <w:p w14:paraId="221DD78F" w14:textId="78D9F567" w:rsidR="00F24700" w:rsidRDefault="00DD3E3D" w:rsidP="001076B6">
      <w:pPr>
        <w:jc w:val="both"/>
        <w:rPr>
          <w:szCs w:val="24"/>
        </w:rPr>
      </w:pPr>
      <w:r>
        <w:rPr>
          <w:szCs w:val="24"/>
        </w:rPr>
        <w:t>Der Geschäftsbereich 1 Beamte der Bundesgeschäftsstelle hat mit Info</w:t>
      </w:r>
      <w:r w:rsidR="00054F00">
        <w:rPr>
          <w:szCs w:val="24"/>
        </w:rPr>
        <w:t xml:space="preserve"> </w:t>
      </w:r>
      <w:r>
        <w:rPr>
          <w:szCs w:val="24"/>
        </w:rPr>
        <w:t>Nr. 29/2024</w:t>
      </w:r>
      <w:r w:rsidR="00F410F6">
        <w:rPr>
          <w:szCs w:val="24"/>
        </w:rPr>
        <w:t xml:space="preserve"> </w:t>
      </w:r>
      <w:r>
        <w:rPr>
          <w:szCs w:val="24"/>
        </w:rPr>
        <w:t>bereits über den Sachverhalt „EuGH: Überstundenzuschläge für Teilzeitkräfte“ vom 11.</w:t>
      </w:r>
      <w:r w:rsidR="00054F00">
        <w:rPr>
          <w:szCs w:val="24"/>
        </w:rPr>
        <w:t xml:space="preserve"> Dezember </w:t>
      </w:r>
      <w:r>
        <w:rPr>
          <w:szCs w:val="24"/>
        </w:rPr>
        <w:t xml:space="preserve">2024 informiert. </w:t>
      </w:r>
      <w:r w:rsidR="00F24700">
        <w:rPr>
          <w:szCs w:val="24"/>
        </w:rPr>
        <w:t xml:space="preserve">Mit dem jetzigen Info werden weitere wichtige vorläufige Einordnungen vorgenommen. </w:t>
      </w:r>
    </w:p>
    <w:p w14:paraId="46FE54CE" w14:textId="5476CFEF" w:rsidR="00F24700" w:rsidRDefault="00187B50" w:rsidP="001076B6">
      <w:pPr>
        <w:jc w:val="both"/>
        <w:rPr>
          <w:szCs w:val="24"/>
        </w:rPr>
      </w:pPr>
      <w:r>
        <w:rPr>
          <w:szCs w:val="24"/>
        </w:rPr>
        <w:br w:type="column"/>
      </w:r>
    </w:p>
    <w:p w14:paraId="6E0E488B" w14:textId="77826378" w:rsidR="00432113" w:rsidRPr="00F24700" w:rsidRDefault="00F24700" w:rsidP="001076B6">
      <w:pPr>
        <w:jc w:val="both"/>
        <w:rPr>
          <w:b/>
          <w:bCs/>
          <w:szCs w:val="24"/>
        </w:rPr>
      </w:pPr>
      <w:r w:rsidRPr="00F24700">
        <w:rPr>
          <w:b/>
          <w:bCs/>
          <w:szCs w:val="24"/>
        </w:rPr>
        <w:t>Ausdrücklich wird bereits hier darauf hingewiesen, dass für die Statusgruppe der Beamtinnen und Beamten seitens der Bundesg</w:t>
      </w:r>
      <w:r>
        <w:rPr>
          <w:b/>
          <w:bCs/>
          <w:szCs w:val="24"/>
        </w:rPr>
        <w:t>e</w:t>
      </w:r>
      <w:r w:rsidRPr="00F24700">
        <w:rPr>
          <w:b/>
          <w:bCs/>
          <w:szCs w:val="24"/>
        </w:rPr>
        <w:t>schäf</w:t>
      </w:r>
      <w:r>
        <w:rPr>
          <w:b/>
          <w:bCs/>
          <w:szCs w:val="24"/>
        </w:rPr>
        <w:t>ts</w:t>
      </w:r>
      <w:r w:rsidRPr="00F24700">
        <w:rPr>
          <w:b/>
          <w:bCs/>
          <w:szCs w:val="24"/>
        </w:rPr>
        <w:t xml:space="preserve">stelle des dbb beamtenbund und </w:t>
      </w:r>
      <w:r>
        <w:rPr>
          <w:b/>
          <w:bCs/>
          <w:szCs w:val="24"/>
        </w:rPr>
        <w:t>t</w:t>
      </w:r>
      <w:r w:rsidRPr="00F24700">
        <w:rPr>
          <w:b/>
          <w:bCs/>
          <w:szCs w:val="24"/>
        </w:rPr>
        <w:t xml:space="preserve">arifunion </w:t>
      </w:r>
      <w:r>
        <w:rPr>
          <w:b/>
          <w:bCs/>
          <w:szCs w:val="24"/>
        </w:rPr>
        <w:t>aus tatsächlichen und rechtlichen Gründen KEIN MUSTERANTRAG erstellt wird</w:t>
      </w:r>
      <w:r w:rsidR="009B551A">
        <w:rPr>
          <w:b/>
          <w:bCs/>
          <w:szCs w:val="24"/>
        </w:rPr>
        <w:t xml:space="preserve">. Dies wäre </w:t>
      </w:r>
      <w:r>
        <w:rPr>
          <w:b/>
          <w:bCs/>
          <w:szCs w:val="24"/>
        </w:rPr>
        <w:t>bei der gegeben</w:t>
      </w:r>
      <w:r w:rsidR="009B551A">
        <w:rPr>
          <w:b/>
          <w:bCs/>
          <w:szCs w:val="24"/>
        </w:rPr>
        <w:t>en</w:t>
      </w:r>
      <w:r>
        <w:rPr>
          <w:b/>
          <w:bCs/>
          <w:szCs w:val="24"/>
        </w:rPr>
        <w:t xml:space="preserve"> </w:t>
      </w:r>
      <w:r w:rsidR="009B551A">
        <w:rPr>
          <w:b/>
          <w:bCs/>
          <w:szCs w:val="24"/>
        </w:rPr>
        <w:t xml:space="preserve">und erkennbaren </w:t>
      </w:r>
      <w:r>
        <w:rPr>
          <w:b/>
          <w:bCs/>
          <w:szCs w:val="24"/>
        </w:rPr>
        <w:t>Sach-</w:t>
      </w:r>
      <w:r w:rsidR="009B551A">
        <w:rPr>
          <w:b/>
          <w:bCs/>
          <w:szCs w:val="24"/>
        </w:rPr>
        <w:t xml:space="preserve">, Rechts- und Erkenntnislage </w:t>
      </w:r>
      <w:r>
        <w:rPr>
          <w:b/>
          <w:bCs/>
          <w:szCs w:val="24"/>
        </w:rPr>
        <w:t xml:space="preserve">unseriös, </w:t>
      </w:r>
      <w:r w:rsidR="009B551A">
        <w:rPr>
          <w:b/>
          <w:bCs/>
          <w:szCs w:val="24"/>
        </w:rPr>
        <w:t xml:space="preserve">da ein auch nur halbwegs </w:t>
      </w:r>
      <w:r>
        <w:rPr>
          <w:b/>
          <w:bCs/>
          <w:szCs w:val="24"/>
        </w:rPr>
        <w:t>substantiiert</w:t>
      </w:r>
      <w:r w:rsidR="009B551A">
        <w:rPr>
          <w:b/>
          <w:bCs/>
          <w:szCs w:val="24"/>
        </w:rPr>
        <w:t>er</w:t>
      </w:r>
      <w:r>
        <w:rPr>
          <w:b/>
          <w:bCs/>
          <w:szCs w:val="24"/>
        </w:rPr>
        <w:t xml:space="preserve"> </w:t>
      </w:r>
      <w:r w:rsidR="009B551A">
        <w:rPr>
          <w:b/>
          <w:bCs/>
          <w:szCs w:val="24"/>
        </w:rPr>
        <w:t>Antrag nicht leistbar ist.</w:t>
      </w:r>
    </w:p>
    <w:p w14:paraId="27457C6A" w14:textId="77777777" w:rsidR="00432113" w:rsidRPr="00F24700" w:rsidRDefault="00432113" w:rsidP="001076B6">
      <w:pPr>
        <w:jc w:val="both"/>
        <w:rPr>
          <w:b/>
          <w:bCs/>
          <w:szCs w:val="24"/>
        </w:rPr>
      </w:pPr>
    </w:p>
    <w:p w14:paraId="15C85BCE" w14:textId="607B9D6E" w:rsidR="00F24700" w:rsidRDefault="00DD3E3D" w:rsidP="001076B6">
      <w:pPr>
        <w:jc w:val="both"/>
        <w:rPr>
          <w:szCs w:val="24"/>
        </w:rPr>
      </w:pPr>
      <w:r>
        <w:rPr>
          <w:szCs w:val="24"/>
        </w:rPr>
        <w:t xml:space="preserve">Auch der Geschäftsbereich 2 Tarif der Bundesgeschäftsstelle hat mit </w:t>
      </w:r>
      <w:r w:rsidR="00AB1CEB" w:rsidRPr="001076B6">
        <w:rPr>
          <w:szCs w:val="24"/>
        </w:rPr>
        <w:t>Rundschreiben vom 9.</w:t>
      </w:r>
      <w:r w:rsidR="00187B50">
        <w:rPr>
          <w:szCs w:val="24"/>
        </w:rPr>
        <w:t> </w:t>
      </w:r>
      <w:r w:rsidR="00AB1CEB" w:rsidRPr="001076B6">
        <w:rPr>
          <w:szCs w:val="24"/>
        </w:rPr>
        <w:t xml:space="preserve">Dezember 2024 </w:t>
      </w:r>
      <w:r>
        <w:rPr>
          <w:szCs w:val="24"/>
        </w:rPr>
        <w:t xml:space="preserve">– sowie </w:t>
      </w:r>
      <w:r w:rsidR="00432113">
        <w:rPr>
          <w:szCs w:val="24"/>
        </w:rPr>
        <w:t xml:space="preserve">mit Rundschreiben Nr. 12/2024 vom heutigen Tage über </w:t>
      </w:r>
      <w:r w:rsidR="00F24700">
        <w:rPr>
          <w:szCs w:val="24"/>
        </w:rPr>
        <w:t>„</w:t>
      </w:r>
      <w:r w:rsidR="00F24700" w:rsidRPr="00F24700">
        <w:rPr>
          <w:szCs w:val="24"/>
        </w:rPr>
        <w:t>Überstundenzuschläge für Teilzeitbeschäftigte</w:t>
      </w:r>
      <w:r w:rsidR="00187B50">
        <w:rPr>
          <w:szCs w:val="24"/>
        </w:rPr>
        <w:t xml:space="preserve">“ </w:t>
      </w:r>
      <w:r w:rsidR="009B551A">
        <w:rPr>
          <w:szCs w:val="24"/>
        </w:rPr>
        <w:t>informiert. Dort wird jedoch aufgrund der unterschiedlichen Sach- und Rechtslage ein „</w:t>
      </w:r>
      <w:r w:rsidR="00F24700" w:rsidRPr="00F24700">
        <w:rPr>
          <w:szCs w:val="24"/>
        </w:rPr>
        <w:t>Musterantrag zur Geltendmachung von Ansprüchen</w:t>
      </w:r>
      <w:r w:rsidR="00F24700">
        <w:rPr>
          <w:szCs w:val="24"/>
        </w:rPr>
        <w:t xml:space="preserve">“ </w:t>
      </w:r>
      <w:r w:rsidR="009B551A">
        <w:rPr>
          <w:szCs w:val="24"/>
        </w:rPr>
        <w:t xml:space="preserve">zur Verfügung gestellt. </w:t>
      </w:r>
    </w:p>
    <w:p w14:paraId="5EB3C400" w14:textId="0570A275" w:rsidR="001076B6" w:rsidRDefault="001076B6" w:rsidP="001076B6">
      <w:pPr>
        <w:jc w:val="both"/>
        <w:rPr>
          <w:szCs w:val="24"/>
        </w:rPr>
      </w:pPr>
    </w:p>
    <w:p w14:paraId="286D85AE" w14:textId="79E2127D" w:rsidR="001076B6" w:rsidRPr="001076B6" w:rsidRDefault="00432113" w:rsidP="001076B6">
      <w:pPr>
        <w:jc w:val="both"/>
        <w:rPr>
          <w:b/>
          <w:bCs/>
          <w:szCs w:val="24"/>
        </w:rPr>
      </w:pPr>
      <w:r>
        <w:rPr>
          <w:b/>
          <w:bCs/>
          <w:szCs w:val="24"/>
        </w:rPr>
        <w:t xml:space="preserve">Materieller Ausgangspunkt: </w:t>
      </w:r>
      <w:r w:rsidR="001076B6" w:rsidRPr="001076B6">
        <w:rPr>
          <w:b/>
          <w:bCs/>
          <w:szCs w:val="24"/>
        </w:rPr>
        <w:t>Entscheidung des BAG</w:t>
      </w:r>
    </w:p>
    <w:p w14:paraId="34CCB779" w14:textId="77777777" w:rsidR="00432113" w:rsidRDefault="00432113" w:rsidP="001076B6">
      <w:pPr>
        <w:jc w:val="both"/>
        <w:rPr>
          <w:szCs w:val="24"/>
        </w:rPr>
      </w:pPr>
    </w:p>
    <w:p w14:paraId="0CAE3716" w14:textId="6A27A542" w:rsidR="001076B6" w:rsidRPr="001076B6" w:rsidRDefault="001076B6" w:rsidP="001076B6">
      <w:pPr>
        <w:jc w:val="both"/>
        <w:rPr>
          <w:szCs w:val="24"/>
        </w:rPr>
      </w:pPr>
      <w:r w:rsidRPr="001076B6">
        <w:rPr>
          <w:szCs w:val="24"/>
        </w:rPr>
        <w:t xml:space="preserve">Das BAG hat entschieden, dass tarifvertragliche Regelungen, die unabhängig von der individuellen Arbeitszeit für Überstundenzuschläge das Überschreiten der regelmäßigen Arbeitszeit von Vollzeitbeschäftigten voraussetzen, </w:t>
      </w:r>
      <w:r w:rsidR="00F955BD" w:rsidRPr="00807F7C">
        <w:rPr>
          <w:szCs w:val="24"/>
        </w:rPr>
        <w:t>dann</w:t>
      </w:r>
      <w:r w:rsidR="00F955BD">
        <w:rPr>
          <w:szCs w:val="24"/>
        </w:rPr>
        <w:t xml:space="preserve"> </w:t>
      </w:r>
      <w:r w:rsidRPr="001076B6">
        <w:rPr>
          <w:szCs w:val="24"/>
        </w:rPr>
        <w:t>gegen das Verbot der Diskriminierung Teilzeitbeschäftigter verstoßen, wenn die Ungleichbehandlung nicht sachlich gerechtfertigt ist. Wenn sachliche Gründe für die Ungleichbehandlung fehlen, liegt diesbezüglich außerdem regelmäßig eine mittelbare Benachteiligung wegen des (weiblichen) Geschlechts gemäß dem Allgemeinen Gleichbehandlungsgesetz (AGG) vor, wenn innerhalb der betroffenen Gruppe der Teilzeitbeschäftigten erheblich mehr Frauen als Männer vertreten sind.</w:t>
      </w:r>
    </w:p>
    <w:p w14:paraId="1283F66D" w14:textId="77777777" w:rsidR="001076B6" w:rsidRPr="001076B6" w:rsidRDefault="001076B6" w:rsidP="001076B6">
      <w:pPr>
        <w:jc w:val="both"/>
        <w:rPr>
          <w:szCs w:val="24"/>
        </w:rPr>
      </w:pPr>
    </w:p>
    <w:p w14:paraId="6B91663F" w14:textId="73FA6E44" w:rsidR="001076B6" w:rsidRPr="001076B6" w:rsidRDefault="001076B6" w:rsidP="001076B6">
      <w:pPr>
        <w:jc w:val="both"/>
        <w:rPr>
          <w:b/>
          <w:bCs/>
          <w:szCs w:val="24"/>
        </w:rPr>
      </w:pPr>
      <w:r w:rsidRPr="001076B6">
        <w:rPr>
          <w:b/>
          <w:bCs/>
          <w:szCs w:val="24"/>
        </w:rPr>
        <w:t xml:space="preserve">Mögliche Auswirkungen auf </w:t>
      </w:r>
      <w:r w:rsidR="009B551A">
        <w:rPr>
          <w:b/>
          <w:bCs/>
          <w:szCs w:val="24"/>
        </w:rPr>
        <w:t>Beschäftige als Arbeitnehmende des</w:t>
      </w:r>
      <w:r w:rsidRPr="001076B6">
        <w:rPr>
          <w:b/>
          <w:bCs/>
          <w:szCs w:val="24"/>
        </w:rPr>
        <w:t xml:space="preserve"> öffentlichen Dienst</w:t>
      </w:r>
      <w:r w:rsidR="009B551A">
        <w:rPr>
          <w:b/>
          <w:bCs/>
          <w:szCs w:val="24"/>
        </w:rPr>
        <w:t>es</w:t>
      </w:r>
    </w:p>
    <w:p w14:paraId="7BC6BAD2" w14:textId="77777777" w:rsidR="009B551A" w:rsidRDefault="009B551A" w:rsidP="001076B6">
      <w:pPr>
        <w:jc w:val="both"/>
        <w:rPr>
          <w:szCs w:val="24"/>
        </w:rPr>
      </w:pPr>
    </w:p>
    <w:p w14:paraId="440C76FF" w14:textId="4ABE9A36" w:rsidR="001076B6" w:rsidRPr="001076B6" w:rsidRDefault="001076B6" w:rsidP="001076B6">
      <w:pPr>
        <w:jc w:val="both"/>
        <w:rPr>
          <w:szCs w:val="24"/>
        </w:rPr>
      </w:pPr>
      <w:r w:rsidRPr="001076B6">
        <w:rPr>
          <w:szCs w:val="24"/>
        </w:rPr>
        <w:t xml:space="preserve">Es besteht vorbehaltlich der Entscheidungsgründe die Möglichkeit, dass vor dem Hintergrund dieses Urteils auch tarifvertragliche Regelungen im öffentlichen Dienst neu zu bewerten sind, die Teilzeit- und Vollzeitkräfte in Bezug auf Überstundenzuschläge ungleich behandeln. Beispielsweise </w:t>
      </w:r>
      <w:r w:rsidR="00F955BD" w:rsidRPr="00807F7C">
        <w:rPr>
          <w:szCs w:val="24"/>
        </w:rPr>
        <w:t xml:space="preserve">sehen </w:t>
      </w:r>
      <w:r w:rsidRPr="001076B6">
        <w:rPr>
          <w:szCs w:val="24"/>
        </w:rPr>
        <w:t xml:space="preserve">TVöD, TV-L, TV-H und TV-V Zuschläge für Überstunden vor, wobei Überstunden grundsätzlich als auf Anordnung des Arbeitgebers geleistete Arbeitsstunden definiert werden, die über die regelmäßige Arbeitszeit von Vollbeschäftigten hinausgehen und nicht bis zum Ende der folgenden Kalenderwoche ausgeglichen werden. Die für Teilzeitbeschäftigte angeordneten und nicht ausgeglichenen zusätzlichen Arbeitsstunden bis zum Erreichen der regelmäßigen Arbeitszeit von Vollbeschäftigten werden also nicht </w:t>
      </w:r>
      <w:r w:rsidRPr="00F955BD">
        <w:rPr>
          <w:szCs w:val="24"/>
          <w:u w:val="single"/>
        </w:rPr>
        <w:t>mit Zuschlägen</w:t>
      </w:r>
      <w:r w:rsidRPr="001076B6">
        <w:rPr>
          <w:szCs w:val="24"/>
        </w:rPr>
        <w:t xml:space="preserve"> ausgeglichen. Dies könnte eine Diskriminierung von Teilzeitbeschäftigten und gegebenenfalls eine mittelbare Benachteiligung wegen des Geschlechts darstellen.</w:t>
      </w:r>
    </w:p>
    <w:p w14:paraId="2D3DF512" w14:textId="77777777" w:rsidR="001076B6" w:rsidRPr="001076B6" w:rsidRDefault="001076B6" w:rsidP="001076B6">
      <w:pPr>
        <w:jc w:val="both"/>
        <w:rPr>
          <w:szCs w:val="24"/>
        </w:rPr>
      </w:pPr>
    </w:p>
    <w:p w14:paraId="7DA43A92" w14:textId="24C9D340" w:rsidR="009B551A" w:rsidRPr="001076B6" w:rsidRDefault="001076B6" w:rsidP="009B551A">
      <w:pPr>
        <w:jc w:val="both"/>
        <w:rPr>
          <w:b/>
          <w:bCs/>
          <w:szCs w:val="24"/>
        </w:rPr>
      </w:pPr>
      <w:r w:rsidRPr="001076B6">
        <w:rPr>
          <w:b/>
          <w:bCs/>
          <w:szCs w:val="24"/>
        </w:rPr>
        <w:t>Voraussetzungen für das Vorliegen von zuschlagspflichtigen Arbeitsstunden</w:t>
      </w:r>
      <w:r w:rsidR="009B551A">
        <w:rPr>
          <w:b/>
          <w:bCs/>
          <w:szCs w:val="24"/>
        </w:rPr>
        <w:t xml:space="preserve"> für Arbeitnehmende des</w:t>
      </w:r>
      <w:r w:rsidR="009B551A" w:rsidRPr="001076B6">
        <w:rPr>
          <w:b/>
          <w:bCs/>
          <w:szCs w:val="24"/>
        </w:rPr>
        <w:t xml:space="preserve"> öffentlichen Dienst</w:t>
      </w:r>
      <w:r w:rsidR="009B551A">
        <w:rPr>
          <w:b/>
          <w:bCs/>
          <w:szCs w:val="24"/>
        </w:rPr>
        <w:t>es</w:t>
      </w:r>
    </w:p>
    <w:p w14:paraId="660BA133" w14:textId="77777777" w:rsidR="009B551A" w:rsidRDefault="009B551A" w:rsidP="001076B6">
      <w:pPr>
        <w:jc w:val="both"/>
        <w:rPr>
          <w:szCs w:val="24"/>
        </w:rPr>
      </w:pPr>
    </w:p>
    <w:p w14:paraId="4BBF430A" w14:textId="7E59195B" w:rsidR="001076B6" w:rsidRPr="001076B6" w:rsidRDefault="009B551A" w:rsidP="001076B6">
      <w:pPr>
        <w:jc w:val="both"/>
        <w:rPr>
          <w:szCs w:val="24"/>
        </w:rPr>
      </w:pPr>
      <w:r>
        <w:rPr>
          <w:szCs w:val="24"/>
        </w:rPr>
        <w:t>Z</w:t>
      </w:r>
      <w:r w:rsidR="001076B6" w:rsidRPr="001076B6">
        <w:rPr>
          <w:szCs w:val="24"/>
        </w:rPr>
        <w:t xml:space="preserve">uschlagspflichtige Arbeitsstunden </w:t>
      </w:r>
      <w:r>
        <w:rPr>
          <w:szCs w:val="24"/>
        </w:rPr>
        <w:t xml:space="preserve">können </w:t>
      </w:r>
      <w:r w:rsidR="001076B6" w:rsidRPr="001076B6">
        <w:rPr>
          <w:szCs w:val="24"/>
        </w:rPr>
        <w:t xml:space="preserve">nur vorliegen, wenn es sich um vom Arbeitgeber angeordnete zusätzliche Arbeitsstunden handelt, die nicht innerhalb der im Tarifvertrag vorgesehenen Frist durch Freizeit ausgeglichen wurden. Die etwa im Rahmen von Gleitzeit geleisteten zusätzlichen Arbeitsstunden stellen in der Regel mangels Anordnung keine zuschlagspflichtigen Arbeitsstunden dar. Auch Arbeitsstunden innerhalb eines festgelegten Arbeitszeitkorridors oder einer täglichen Rahmenzeit, die durch Betriebs- oder Dienstvereinbarung geregelt sind, stellen keine zuschlagspflichtigen zusätzlichen Arbeitsstunden dar. Darüber hinaus können keine Zeiten geltend gemacht werden, die nicht </w:t>
      </w:r>
      <w:r w:rsidR="001076B6" w:rsidRPr="001076B6">
        <w:rPr>
          <w:szCs w:val="24"/>
        </w:rPr>
        <w:lastRenderedPageBreak/>
        <w:t>innerhalb der tarifvertraglichen Ausschlussfrist liegen, die also etwa im Geltungsbereich von TVöD und TV-L schon mehr als sechs Monate zurückliegen.</w:t>
      </w:r>
    </w:p>
    <w:p w14:paraId="55267FC0" w14:textId="1DE5F89E" w:rsidR="001076B6" w:rsidRPr="001076B6" w:rsidRDefault="001076B6" w:rsidP="001076B6">
      <w:pPr>
        <w:jc w:val="both"/>
        <w:rPr>
          <w:szCs w:val="24"/>
        </w:rPr>
      </w:pPr>
    </w:p>
    <w:p w14:paraId="2EB6E959" w14:textId="77777777" w:rsidR="00870344" w:rsidRPr="00B37322" w:rsidRDefault="00870344" w:rsidP="00870344">
      <w:pPr>
        <w:tabs>
          <w:tab w:val="left" w:pos="426"/>
        </w:tabs>
        <w:jc w:val="both"/>
        <w:rPr>
          <w:b/>
          <w:szCs w:val="24"/>
        </w:rPr>
      </w:pPr>
      <w:r>
        <w:rPr>
          <w:b/>
          <w:szCs w:val="24"/>
        </w:rPr>
        <w:t>Ausgangslage und Sachstand für den Beamtenbereich</w:t>
      </w:r>
    </w:p>
    <w:p w14:paraId="3A22C6EF" w14:textId="77777777" w:rsidR="00870344" w:rsidRDefault="00870344" w:rsidP="00870344">
      <w:pPr>
        <w:jc w:val="both"/>
        <w:rPr>
          <w:szCs w:val="24"/>
        </w:rPr>
      </w:pPr>
    </w:p>
    <w:p w14:paraId="6336A33A" w14:textId="22DD9406" w:rsidR="00870344" w:rsidRPr="00807F7C" w:rsidRDefault="00870344" w:rsidP="00870344">
      <w:pPr>
        <w:jc w:val="both"/>
        <w:rPr>
          <w:szCs w:val="24"/>
        </w:rPr>
      </w:pPr>
      <w:r w:rsidRPr="00B37322">
        <w:rPr>
          <w:szCs w:val="24"/>
        </w:rPr>
        <w:t>Beamt</w:t>
      </w:r>
      <w:r>
        <w:rPr>
          <w:szCs w:val="24"/>
        </w:rPr>
        <w:t xml:space="preserve">innen und Beamte in </w:t>
      </w:r>
      <w:r w:rsidR="00134F1C">
        <w:rPr>
          <w:szCs w:val="24"/>
        </w:rPr>
        <w:t xml:space="preserve">den 17 Rechtskreisen in </w:t>
      </w:r>
      <w:r>
        <w:rPr>
          <w:szCs w:val="24"/>
        </w:rPr>
        <w:t xml:space="preserve">Bund und Ländern erhielten oder erhalten nach Maßgabe der von den jeweiligen Besoldungsgesetzgebern </w:t>
      </w:r>
      <w:r w:rsidRPr="00B37322">
        <w:rPr>
          <w:szCs w:val="24"/>
        </w:rPr>
        <w:t xml:space="preserve">erlassenen Gesetze </w:t>
      </w:r>
      <w:r w:rsidR="00F955BD" w:rsidRPr="00807F7C">
        <w:rPr>
          <w:szCs w:val="24"/>
        </w:rPr>
        <w:t xml:space="preserve">bzw. Verordnungen </w:t>
      </w:r>
      <w:r w:rsidR="009B551A" w:rsidRPr="00807F7C">
        <w:rPr>
          <w:szCs w:val="24"/>
        </w:rPr>
        <w:t>Besoldungsl</w:t>
      </w:r>
      <w:r w:rsidRPr="00807F7C">
        <w:rPr>
          <w:szCs w:val="24"/>
        </w:rPr>
        <w:t>eistungen</w:t>
      </w:r>
      <w:r w:rsidR="00F955BD" w:rsidRPr="00807F7C">
        <w:rPr>
          <w:szCs w:val="24"/>
        </w:rPr>
        <w:t xml:space="preserve">. Diese erhalten </w:t>
      </w:r>
      <w:r w:rsidR="00134F1C" w:rsidRPr="00807F7C">
        <w:rPr>
          <w:szCs w:val="24"/>
        </w:rPr>
        <w:t xml:space="preserve">jeweils auch immer Regelungen </w:t>
      </w:r>
      <w:r w:rsidR="00F955BD" w:rsidRPr="00807F7C">
        <w:rPr>
          <w:szCs w:val="24"/>
        </w:rPr>
        <w:t>im Hinblick auf eine</w:t>
      </w:r>
      <w:r w:rsidR="00134F1C" w:rsidRPr="00807F7C">
        <w:rPr>
          <w:szCs w:val="24"/>
        </w:rPr>
        <w:t xml:space="preserve"> Mehrarbeitsvergütung (vgl. § 48 BBesG oder vergl</w:t>
      </w:r>
      <w:r w:rsidR="00187B50" w:rsidRPr="00807F7C">
        <w:rPr>
          <w:szCs w:val="24"/>
        </w:rPr>
        <w:t>eichbares</w:t>
      </w:r>
      <w:r w:rsidR="00134F1C" w:rsidRPr="00807F7C">
        <w:rPr>
          <w:szCs w:val="24"/>
        </w:rPr>
        <w:t xml:space="preserve"> Landesrecht</w:t>
      </w:r>
      <w:r w:rsidR="00F955BD" w:rsidRPr="00807F7C">
        <w:rPr>
          <w:szCs w:val="24"/>
        </w:rPr>
        <w:t xml:space="preserve"> </w:t>
      </w:r>
      <w:proofErr w:type="spellStart"/>
      <w:r w:rsidR="00F955BD" w:rsidRPr="00807F7C">
        <w:rPr>
          <w:szCs w:val="24"/>
        </w:rPr>
        <w:t>i.V</w:t>
      </w:r>
      <w:r w:rsidR="004E3A6D">
        <w:rPr>
          <w:szCs w:val="24"/>
        </w:rPr>
        <w:t>.</w:t>
      </w:r>
      <w:r w:rsidR="00F955BD" w:rsidRPr="00807F7C">
        <w:rPr>
          <w:szCs w:val="24"/>
        </w:rPr>
        <w:t>m</w:t>
      </w:r>
      <w:proofErr w:type="spellEnd"/>
      <w:r w:rsidR="00F955BD" w:rsidRPr="00807F7C">
        <w:rPr>
          <w:szCs w:val="24"/>
        </w:rPr>
        <w:t>. einer jeweiligen Mehrarbeitsvergütungsverordnung)</w:t>
      </w:r>
      <w:r w:rsidR="00134F1C" w:rsidRPr="00807F7C">
        <w:rPr>
          <w:szCs w:val="24"/>
        </w:rPr>
        <w:t>.</w:t>
      </w:r>
    </w:p>
    <w:p w14:paraId="4220D132" w14:textId="77777777" w:rsidR="00870344" w:rsidRPr="00807F7C" w:rsidRDefault="00870344" w:rsidP="00870344">
      <w:pPr>
        <w:jc w:val="both"/>
        <w:rPr>
          <w:szCs w:val="24"/>
        </w:rPr>
      </w:pPr>
    </w:p>
    <w:p w14:paraId="00063EF0" w14:textId="77777777" w:rsidR="00870344" w:rsidRPr="00B37322" w:rsidRDefault="00870344" w:rsidP="00870344">
      <w:pPr>
        <w:tabs>
          <w:tab w:val="left" w:pos="426"/>
        </w:tabs>
        <w:jc w:val="both"/>
        <w:rPr>
          <w:b/>
          <w:szCs w:val="24"/>
        </w:rPr>
      </w:pPr>
      <w:r>
        <w:rPr>
          <w:b/>
          <w:szCs w:val="24"/>
        </w:rPr>
        <w:t xml:space="preserve">Einordnung und </w:t>
      </w:r>
      <w:r w:rsidRPr="00B37322">
        <w:rPr>
          <w:b/>
          <w:szCs w:val="24"/>
        </w:rPr>
        <w:t>Würdigung</w:t>
      </w:r>
      <w:r>
        <w:rPr>
          <w:b/>
          <w:szCs w:val="24"/>
        </w:rPr>
        <w:t xml:space="preserve"> in Bezug auf das Beamtenrecht </w:t>
      </w:r>
    </w:p>
    <w:p w14:paraId="0AA93384" w14:textId="77777777" w:rsidR="00870344" w:rsidRDefault="00870344" w:rsidP="00870344">
      <w:pPr>
        <w:jc w:val="both"/>
        <w:rPr>
          <w:szCs w:val="24"/>
        </w:rPr>
      </w:pPr>
    </w:p>
    <w:p w14:paraId="6758FE60" w14:textId="1FB80AA5" w:rsidR="00870344" w:rsidRDefault="00134F1C" w:rsidP="00054F00">
      <w:pPr>
        <w:ind w:right="51"/>
        <w:jc w:val="both"/>
      </w:pPr>
      <w:r>
        <w:t>D</w:t>
      </w:r>
      <w:r w:rsidR="00870344">
        <w:t>ie Entscheidungsgründe des Bundesarbeitsgerichts vom 5. Dezember 2024 (8</w:t>
      </w:r>
      <w:r w:rsidR="00054F00">
        <w:t> </w:t>
      </w:r>
      <w:r w:rsidR="00870344">
        <w:t xml:space="preserve">AZR 370/20) </w:t>
      </w:r>
      <w:r>
        <w:t xml:space="preserve">– sowie </w:t>
      </w:r>
      <w:r w:rsidR="00870344">
        <w:t xml:space="preserve">die weitgehend parallel </w:t>
      </w:r>
      <w:r w:rsidR="0052328C">
        <w:t>gelegene</w:t>
      </w:r>
      <w:r w:rsidR="00870344">
        <w:t xml:space="preserve"> Rechtssache (8 AZR 372/20) </w:t>
      </w:r>
      <w:r>
        <w:t xml:space="preserve">– liegen </w:t>
      </w:r>
      <w:r w:rsidR="00870344">
        <w:t>nicht vor</w:t>
      </w:r>
      <w:r>
        <w:t xml:space="preserve">. Vorliegend ist aber die </w:t>
      </w:r>
      <w:r w:rsidR="00870344">
        <w:t>Bezugssache „Urteil</w:t>
      </w:r>
      <w:r>
        <w:t xml:space="preserve"> des </w:t>
      </w:r>
      <w:r w:rsidR="00870344">
        <w:t>EuGH“ 1. Kammer vom 29.</w:t>
      </w:r>
      <w:r w:rsidR="00054F00">
        <w:t xml:space="preserve"> Juli </w:t>
      </w:r>
      <w:r w:rsidR="00870344">
        <w:t xml:space="preserve">2024 </w:t>
      </w:r>
      <w:r>
        <w:t>– in den verbundenen Rechtssachen C-184/22 und C</w:t>
      </w:r>
      <w:r w:rsidR="005535B2">
        <w:t xml:space="preserve">-185/22. Dort hat </w:t>
      </w:r>
      <w:r w:rsidR="005535B2" w:rsidRPr="00807F7C">
        <w:t xml:space="preserve">der </w:t>
      </w:r>
      <w:r w:rsidR="00F955BD" w:rsidRPr="00807F7C">
        <w:t xml:space="preserve">Europäische </w:t>
      </w:r>
      <w:r w:rsidR="005535B2">
        <w:t>Gerichtshof für Recht erkannt:</w:t>
      </w:r>
    </w:p>
    <w:p w14:paraId="6E4EFA2F" w14:textId="77777777" w:rsidR="00870344" w:rsidRPr="00054F00" w:rsidRDefault="00870344" w:rsidP="000A6C44">
      <w:pPr>
        <w:ind w:right="480"/>
        <w:jc w:val="both"/>
        <w:rPr>
          <w:szCs w:val="24"/>
        </w:rPr>
      </w:pPr>
    </w:p>
    <w:p w14:paraId="6F392EFE" w14:textId="77777777" w:rsidR="00870344" w:rsidRPr="00054F00" w:rsidRDefault="00870344" w:rsidP="00870344">
      <w:pPr>
        <w:pStyle w:val="Listenabsatz"/>
        <w:numPr>
          <w:ilvl w:val="0"/>
          <w:numId w:val="5"/>
        </w:numPr>
        <w:spacing w:after="0" w:line="240" w:lineRule="auto"/>
        <w:jc w:val="both"/>
        <w:rPr>
          <w:rFonts w:ascii="TheSansOffice" w:hAnsi="TheSansOffice"/>
          <w:b/>
          <w:bCs/>
          <w:iCs/>
          <w:sz w:val="24"/>
          <w:szCs w:val="24"/>
        </w:rPr>
      </w:pPr>
      <w:r w:rsidRPr="00054F00">
        <w:rPr>
          <w:rFonts w:ascii="TheSansOffice" w:hAnsi="TheSansOffice"/>
          <w:b/>
          <w:bCs/>
          <w:iCs/>
          <w:sz w:val="24"/>
          <w:szCs w:val="24"/>
        </w:rPr>
        <w:t>Paragraf 4 Nrn. 1 und 2 der am 6. Juni 1997 geschlossenen Rahmenvereinbarung über Teilzeitarbeit im Anhang der Richtlinie 97/81/EG des Rates vom 15. Dezember 1997 zu der von UNICE, CEEP und EGB geschlossenen Rahmenvereinbarung über Teilzeitarbeit</w:t>
      </w:r>
    </w:p>
    <w:p w14:paraId="7FCCBF0E" w14:textId="77777777" w:rsidR="00870344" w:rsidRPr="00187B50" w:rsidRDefault="00870344" w:rsidP="00870344">
      <w:pPr>
        <w:jc w:val="both"/>
        <w:rPr>
          <w:bCs/>
          <w:iCs/>
          <w:szCs w:val="24"/>
        </w:rPr>
      </w:pPr>
    </w:p>
    <w:p w14:paraId="6CCA74CB" w14:textId="77777777" w:rsidR="00870344" w:rsidRPr="00187B50" w:rsidRDefault="00870344" w:rsidP="00870344">
      <w:pPr>
        <w:ind w:firstLine="708"/>
        <w:jc w:val="both"/>
        <w:rPr>
          <w:bCs/>
          <w:iCs/>
          <w:szCs w:val="24"/>
        </w:rPr>
      </w:pPr>
      <w:r w:rsidRPr="00187B50">
        <w:rPr>
          <w:bCs/>
          <w:iCs/>
          <w:szCs w:val="24"/>
        </w:rPr>
        <w:t>ist dahin auszulegen, dass</w:t>
      </w:r>
    </w:p>
    <w:p w14:paraId="2DEF8190" w14:textId="77777777" w:rsidR="00870344" w:rsidRPr="00187B50" w:rsidRDefault="00870344" w:rsidP="00870344">
      <w:pPr>
        <w:jc w:val="both"/>
        <w:rPr>
          <w:bCs/>
          <w:iCs/>
          <w:szCs w:val="24"/>
        </w:rPr>
      </w:pPr>
    </w:p>
    <w:p w14:paraId="584A47DB" w14:textId="2DA5BE99" w:rsidR="00870344" w:rsidRPr="00187B50" w:rsidRDefault="00870344" w:rsidP="00870344">
      <w:pPr>
        <w:ind w:left="708"/>
        <w:jc w:val="both"/>
        <w:rPr>
          <w:bCs/>
          <w:iCs/>
          <w:szCs w:val="24"/>
        </w:rPr>
      </w:pPr>
      <w:r w:rsidRPr="00187B50">
        <w:rPr>
          <w:bCs/>
          <w:iCs/>
          <w:szCs w:val="24"/>
        </w:rPr>
        <w:t>eine nationale Regelung, nach der die Zahlung von Überstundenzuschlägen an Teilzeitbeschäftigte nur für die Arbeitsstunden vorgesehen ist, die über die regelmäßige Arbeitszeit von sich in einer vergleichbaren Lage befindenden vollzeitbeschäftigten Arbeitnehmern hinaus gearbeitet werden, eine „schlechtere“ Behandlung von Teilzeitbeschäftigten im Sinne dieses Paragrafen 4 Nr. 1 darstellt, die nicht dadurch gerechtfertigt werden kann, dass auf der einen Seite das Ziel verfolgt wird, den Arbeitgeber davon abzuhalten, für Arbeitnehmer Überstunden anzuordnen, die über die individuell in ihren Arbeitsverträgen vereinbarte Arbeitszeit hinausgehen, und auf der anderen Seite das Ziel</w:t>
      </w:r>
      <w:r w:rsidR="00F955BD">
        <w:rPr>
          <w:bCs/>
          <w:iCs/>
          <w:szCs w:val="24"/>
        </w:rPr>
        <w:t xml:space="preserve"> </w:t>
      </w:r>
      <w:r w:rsidR="00F955BD" w:rsidRPr="004E3A6D">
        <w:rPr>
          <w:bCs/>
          <w:iCs/>
          <w:szCs w:val="24"/>
        </w:rPr>
        <w:t>hat</w:t>
      </w:r>
      <w:r w:rsidRPr="004E3A6D">
        <w:rPr>
          <w:bCs/>
          <w:iCs/>
          <w:szCs w:val="24"/>
        </w:rPr>
        <w:t xml:space="preserve"> </w:t>
      </w:r>
      <w:r w:rsidRPr="00187B50">
        <w:rPr>
          <w:bCs/>
          <w:iCs/>
          <w:szCs w:val="24"/>
        </w:rPr>
        <w:t>zu verhindern, dass Vollzeitbeschäftigte gegenüber Teilzeitbeschäftigten schlechter behandelt werden.</w:t>
      </w:r>
    </w:p>
    <w:p w14:paraId="34B36E88" w14:textId="77777777" w:rsidR="00870344" w:rsidRPr="00054F00" w:rsidRDefault="00870344" w:rsidP="00870344">
      <w:pPr>
        <w:ind w:left="708"/>
        <w:jc w:val="both"/>
        <w:rPr>
          <w:b/>
          <w:bCs/>
          <w:iCs/>
          <w:szCs w:val="24"/>
        </w:rPr>
      </w:pPr>
    </w:p>
    <w:p w14:paraId="62A4264E" w14:textId="77777777" w:rsidR="00870344" w:rsidRPr="00054F00" w:rsidRDefault="00870344" w:rsidP="00870344">
      <w:pPr>
        <w:pStyle w:val="Listenabsatz"/>
        <w:numPr>
          <w:ilvl w:val="0"/>
          <w:numId w:val="5"/>
        </w:numPr>
        <w:spacing w:after="0" w:line="240" w:lineRule="auto"/>
        <w:jc w:val="both"/>
        <w:rPr>
          <w:rFonts w:ascii="TheSansOffice" w:hAnsi="TheSansOffice"/>
          <w:b/>
          <w:bCs/>
          <w:iCs/>
          <w:sz w:val="24"/>
          <w:szCs w:val="24"/>
        </w:rPr>
      </w:pPr>
      <w:r w:rsidRPr="00054F00">
        <w:rPr>
          <w:rFonts w:ascii="TheSansOffice" w:hAnsi="TheSansOffice"/>
          <w:b/>
          <w:bCs/>
          <w:iCs/>
          <w:sz w:val="24"/>
          <w:szCs w:val="24"/>
        </w:rPr>
        <w:t>Art. 157 AEUV sowie Art. 2 Abs. 1 Buchst. b und Art. 4 Abs. 1 der Richtlinie 2006/54/EG des Europäischen Parlaments und des Rates vom 5. Juli 2006 zur Verwirklichung des Grundsatzes der Chancengleichheit und Gleichbehandlung von Männern und Frauen in Arbeits- und Beschäftigungsfragen</w:t>
      </w:r>
    </w:p>
    <w:p w14:paraId="4E5E6271" w14:textId="77777777" w:rsidR="00870344" w:rsidRPr="00054F00" w:rsidRDefault="00870344" w:rsidP="00870344">
      <w:pPr>
        <w:jc w:val="both"/>
        <w:rPr>
          <w:b/>
          <w:bCs/>
          <w:iCs/>
          <w:szCs w:val="24"/>
        </w:rPr>
      </w:pPr>
    </w:p>
    <w:p w14:paraId="15F3564E" w14:textId="77777777" w:rsidR="00870344" w:rsidRPr="00187B50" w:rsidRDefault="00870344" w:rsidP="00870344">
      <w:pPr>
        <w:ind w:firstLine="708"/>
        <w:jc w:val="both"/>
        <w:rPr>
          <w:bCs/>
          <w:iCs/>
          <w:szCs w:val="24"/>
        </w:rPr>
      </w:pPr>
      <w:r w:rsidRPr="00187B50">
        <w:rPr>
          <w:bCs/>
          <w:iCs/>
          <w:szCs w:val="24"/>
        </w:rPr>
        <w:t>sind dahin auszulegen, dass</w:t>
      </w:r>
    </w:p>
    <w:p w14:paraId="3342AC3A" w14:textId="77777777" w:rsidR="00870344" w:rsidRPr="00187B50" w:rsidRDefault="00870344" w:rsidP="00870344">
      <w:pPr>
        <w:jc w:val="both"/>
        <w:rPr>
          <w:bCs/>
          <w:iCs/>
          <w:szCs w:val="24"/>
        </w:rPr>
      </w:pPr>
    </w:p>
    <w:p w14:paraId="1FD60843" w14:textId="77777777" w:rsidR="00870344" w:rsidRPr="00187B50" w:rsidRDefault="00870344" w:rsidP="00870344">
      <w:pPr>
        <w:ind w:left="708"/>
        <w:jc w:val="both"/>
        <w:rPr>
          <w:bCs/>
          <w:iCs/>
          <w:szCs w:val="24"/>
        </w:rPr>
      </w:pPr>
      <w:r w:rsidRPr="00187B50">
        <w:rPr>
          <w:bCs/>
          <w:iCs/>
          <w:szCs w:val="24"/>
        </w:rPr>
        <w:t>zum einen eine nationale Regelung, nach der die Zahlung von Überstundenzuschlägen an Teilzeitbeschäftigte nur für die Arbeitsstunden vorgesehen ist, die über die regelmäßige Arbeitszeit von sich in einer vergleichbaren Lage befindenden vollzeitbeschäftigten Arbeitnehmern hinaus gearbeitet werden, eine mittelbare Diskriminierung aufgrund des Geschlechts darstellt, wenn erwiesen ist, dass diese Regelung einen signifikant höheren Anteil von Personen weiblichen Geschlechts als Personen männlichen Geschlechts benachteiligt, und zwar ohne dass die Gruppe der durch</w:t>
      </w:r>
      <w:r w:rsidRPr="00054F00">
        <w:rPr>
          <w:b/>
          <w:bCs/>
          <w:iCs/>
          <w:szCs w:val="24"/>
        </w:rPr>
        <w:t xml:space="preserve"> </w:t>
      </w:r>
      <w:r w:rsidRPr="00187B50">
        <w:rPr>
          <w:bCs/>
          <w:iCs/>
          <w:szCs w:val="24"/>
        </w:rPr>
        <w:lastRenderedPageBreak/>
        <w:t>diese Regelung nicht benachteiligten Arbeitnehmer – die Vollzeitbeschäftigten – gleichzeitig aus erheblich mehr Männern als Frauen bestehen muss, und dass zum anderen eine solche Diskriminierung nicht dadurch gerechtfertigt werden kann, dass auf der einen Seite das Ziel verfolgt wird, den Arbeitgeber davon abzuhalten, für Arbeitnehmer Überstunden anzuordnen, die über die individuell in ihren Arbeitsverträgen vereinbarte Arbeitszeit hinausgehen, und auf der anderen Seite das Ziel, zu verhindern, dass Vollzeitbeschäftigte gegenüber Teilzeitbeschäftigten schlechter behandelt werden.</w:t>
      </w:r>
    </w:p>
    <w:p w14:paraId="5831A598" w14:textId="77777777" w:rsidR="00870344" w:rsidRDefault="00870344" w:rsidP="000A6C44">
      <w:pPr>
        <w:ind w:right="480"/>
        <w:jc w:val="both"/>
      </w:pPr>
    </w:p>
    <w:p w14:paraId="1CC53D3C" w14:textId="0C973F42" w:rsidR="00870344" w:rsidRDefault="005535B2" w:rsidP="009F36DC">
      <w:pPr>
        <w:ind w:right="-26"/>
        <w:jc w:val="both"/>
      </w:pPr>
      <w:r>
        <w:t>Festzuhalten ist zuerst: Statusrechtlich sind Beamtinnen und Beamte t</w:t>
      </w:r>
      <w:r w:rsidR="00870344">
        <w:t>atbestandlich und rechtlich im E</w:t>
      </w:r>
      <w:r w:rsidR="00054F00">
        <w:t>u</w:t>
      </w:r>
      <w:r w:rsidR="00870344">
        <w:t>GH</w:t>
      </w:r>
      <w:r>
        <w:t xml:space="preserve">-Verfahren nicht erfasst. Dies gilt demzufolge auch </w:t>
      </w:r>
      <w:r w:rsidR="005123C4">
        <w:t>für das darauf bezogen</w:t>
      </w:r>
      <w:r w:rsidR="00887E46">
        <w:t>e</w:t>
      </w:r>
      <w:r w:rsidR="005123C4">
        <w:t xml:space="preserve"> </w:t>
      </w:r>
      <w:r w:rsidR="00870344">
        <w:t>BAG-Verfahren</w:t>
      </w:r>
      <w:r w:rsidR="00187B50">
        <w:t>.</w:t>
      </w:r>
    </w:p>
    <w:p w14:paraId="0D287BA0" w14:textId="77777777" w:rsidR="005123C4" w:rsidRDefault="005123C4" w:rsidP="009F36DC">
      <w:pPr>
        <w:ind w:right="-26"/>
        <w:jc w:val="both"/>
      </w:pPr>
    </w:p>
    <w:p w14:paraId="649A04C7" w14:textId="67D34449" w:rsidR="00870344" w:rsidRDefault="005123C4" w:rsidP="009F36DC">
      <w:pPr>
        <w:ind w:right="-26"/>
        <w:jc w:val="both"/>
      </w:pPr>
      <w:r>
        <w:t xml:space="preserve">Festzuhalten ist weiter: </w:t>
      </w:r>
      <w:r w:rsidR="00870344">
        <w:t xml:space="preserve">Eine </w:t>
      </w:r>
      <w:r w:rsidR="000524AE">
        <w:t>unmittelbare</w:t>
      </w:r>
      <w:r w:rsidR="00870344">
        <w:t xml:space="preserve"> Wirkung – weder der E</w:t>
      </w:r>
      <w:r w:rsidR="00054F00">
        <w:t>u</w:t>
      </w:r>
      <w:r w:rsidR="00870344">
        <w:t xml:space="preserve">GH-Entscheidung </w:t>
      </w:r>
      <w:r>
        <w:t xml:space="preserve">noch </w:t>
      </w:r>
      <w:r w:rsidR="00870344">
        <w:t xml:space="preserve">der BAG-Entscheidung </w:t>
      </w:r>
      <w:r w:rsidR="000524AE">
        <w:t>existiert</w:t>
      </w:r>
      <w:r w:rsidR="00870344">
        <w:t xml:space="preserve"> für statu</w:t>
      </w:r>
      <w:r w:rsidR="000524AE">
        <w:t>s</w:t>
      </w:r>
      <w:r w:rsidR="00870344">
        <w:t>r</w:t>
      </w:r>
      <w:r w:rsidR="000524AE">
        <w:t>e</w:t>
      </w:r>
      <w:r w:rsidR="00870344">
        <w:t xml:space="preserve">chtliche Beamte in den 17 verschiedenen </w:t>
      </w:r>
      <w:r>
        <w:t>R</w:t>
      </w:r>
      <w:r w:rsidR="00870344">
        <w:t xml:space="preserve">echtskreisen </w:t>
      </w:r>
      <w:r>
        <w:t>in Deutschland eb</w:t>
      </w:r>
      <w:r w:rsidR="00870344">
        <w:t>e</w:t>
      </w:r>
      <w:r w:rsidR="000524AE">
        <w:t>n</w:t>
      </w:r>
      <w:r w:rsidR="00870344">
        <w:t xml:space="preserve">falls nicht. </w:t>
      </w:r>
    </w:p>
    <w:p w14:paraId="3F5280E9" w14:textId="77777777" w:rsidR="00870344" w:rsidRDefault="00870344" w:rsidP="009F36DC">
      <w:pPr>
        <w:ind w:right="-26"/>
        <w:jc w:val="both"/>
      </w:pPr>
    </w:p>
    <w:p w14:paraId="464BA8CD" w14:textId="796B020C" w:rsidR="000524AE" w:rsidRDefault="000524AE" w:rsidP="009F36DC">
      <w:pPr>
        <w:ind w:right="-26"/>
        <w:jc w:val="both"/>
      </w:pPr>
      <w:r>
        <w:t>Im Hinblick auf die fundamental unterschiedlichen Rechtsstrukturen von Arbeitnehmenden auf der einen Seite und Status</w:t>
      </w:r>
      <w:r w:rsidR="005123C4">
        <w:t>b</w:t>
      </w:r>
      <w:r>
        <w:t xml:space="preserve">eamtinnen und </w:t>
      </w:r>
      <w:r w:rsidR="005123C4">
        <w:t>Statusb</w:t>
      </w:r>
      <w:r>
        <w:t xml:space="preserve">eamten auf </w:t>
      </w:r>
      <w:r w:rsidR="00F91C12">
        <w:t>d</w:t>
      </w:r>
      <w:r>
        <w:t>er anderen Sei</w:t>
      </w:r>
      <w:r w:rsidR="00716441">
        <w:t>te</w:t>
      </w:r>
      <w:r w:rsidR="00807F7C">
        <w:t>,</w:t>
      </w:r>
      <w:r w:rsidR="00716441">
        <w:t xml:space="preserve"> </w:t>
      </w:r>
      <w:r>
        <w:t>kann aus de</w:t>
      </w:r>
      <w:r w:rsidR="005123C4">
        <w:t>n</w:t>
      </w:r>
      <w:r>
        <w:t xml:space="preserve"> vorl</w:t>
      </w:r>
      <w:r w:rsidR="00F91C12">
        <w:t>i</w:t>
      </w:r>
      <w:r>
        <w:t>egenden nationalen und europarechtl</w:t>
      </w:r>
      <w:r w:rsidR="00F91C12">
        <w:t>ichen</w:t>
      </w:r>
      <w:r>
        <w:t xml:space="preserve"> Entsch</w:t>
      </w:r>
      <w:r w:rsidR="00F91C12">
        <w:t>e</w:t>
      </w:r>
      <w:r>
        <w:t>idung</w:t>
      </w:r>
      <w:r w:rsidR="005123C4">
        <w:t>en</w:t>
      </w:r>
      <w:r>
        <w:t xml:space="preserve"> kein </w:t>
      </w:r>
      <w:r w:rsidR="005123C4">
        <w:t xml:space="preserve">direkter </w:t>
      </w:r>
      <w:r>
        <w:t xml:space="preserve">Rechtsanspruch abgeleitet werden. </w:t>
      </w:r>
    </w:p>
    <w:p w14:paraId="55330A4E" w14:textId="77777777" w:rsidR="000524AE" w:rsidRDefault="000524AE" w:rsidP="000A6C44">
      <w:pPr>
        <w:ind w:right="480"/>
        <w:jc w:val="both"/>
      </w:pPr>
    </w:p>
    <w:p w14:paraId="4E26C0E7" w14:textId="71A2DE2A" w:rsidR="00F9689B" w:rsidRDefault="0064136A" w:rsidP="009F36DC">
      <w:pPr>
        <w:ind w:right="-26"/>
        <w:jc w:val="both"/>
      </w:pPr>
      <w:r>
        <w:t xml:space="preserve">Beachtlich ist dabei, </w:t>
      </w:r>
      <w:r w:rsidR="000524AE">
        <w:t>dass Statu</w:t>
      </w:r>
      <w:r>
        <w:t>sb</w:t>
      </w:r>
      <w:r w:rsidR="000524AE">
        <w:t xml:space="preserve">eamtinnen und </w:t>
      </w:r>
      <w:r>
        <w:t>Statusbeamte</w:t>
      </w:r>
      <w:r w:rsidR="000524AE">
        <w:t xml:space="preserve"> </w:t>
      </w:r>
      <w:r>
        <w:t>keine Arbeitnehmer sind, keine Arbeit leisten und auch kein Arbeitsgeld erhalten. Statusbeamtinnen und Statusbeamte d</w:t>
      </w:r>
      <w:r w:rsidR="000524AE">
        <w:t xml:space="preserve">ienen </w:t>
      </w:r>
      <w:r>
        <w:t xml:space="preserve">in einem </w:t>
      </w:r>
      <w:r w:rsidR="000524AE">
        <w:t>öffentl</w:t>
      </w:r>
      <w:r>
        <w:t>ich-</w:t>
      </w:r>
      <w:r w:rsidR="009F36DC">
        <w:t>r</w:t>
      </w:r>
      <w:r w:rsidR="000524AE">
        <w:t>echtlichen Dienst- und Treueverhältn</w:t>
      </w:r>
      <w:r w:rsidR="009F36DC">
        <w:t>i</w:t>
      </w:r>
      <w:r w:rsidR="000524AE">
        <w:t>s</w:t>
      </w:r>
      <w:r>
        <w:t xml:space="preserve"> und erhalten Alimentation in Form von Besoldung jeweils zu Beginn des Monats im Voraus.</w:t>
      </w:r>
      <w:r w:rsidR="00807F7C">
        <w:t xml:space="preserve"> </w:t>
      </w:r>
      <w:r w:rsidR="009F36DC">
        <w:t>Zudem</w:t>
      </w:r>
      <w:r w:rsidR="000524AE">
        <w:t xml:space="preserve"> </w:t>
      </w:r>
      <w:r>
        <w:t xml:space="preserve">gibt es </w:t>
      </w:r>
      <w:r w:rsidR="000524AE">
        <w:t xml:space="preserve">eine </w:t>
      </w:r>
      <w:r>
        <w:t xml:space="preserve">allgemeine </w:t>
      </w:r>
      <w:r w:rsidR="00F9689B">
        <w:t>„</w:t>
      </w:r>
      <w:r w:rsidR="000524AE">
        <w:t>Überdien</w:t>
      </w:r>
      <w:r w:rsidR="00F9689B">
        <w:t>en</w:t>
      </w:r>
      <w:r w:rsidR="000524AE">
        <w:t>s</w:t>
      </w:r>
      <w:r w:rsidR="00F9689B">
        <w:t>-P</w:t>
      </w:r>
      <w:r w:rsidR="000524AE">
        <w:t>fli</w:t>
      </w:r>
      <w:r w:rsidR="009F36DC">
        <w:t>c</w:t>
      </w:r>
      <w:r w:rsidR="000524AE">
        <w:t>ht</w:t>
      </w:r>
      <w:r w:rsidR="00F9689B">
        <w:t xml:space="preserve">“, die beinhaltet, dass unregelmäßig über die reguläre allgemeine Arbeitszeit hinaus Dienst geleistet werden muss, </w:t>
      </w:r>
      <w:r w:rsidR="00F9689B" w:rsidRPr="00807F7C">
        <w:t xml:space="preserve">ohne </w:t>
      </w:r>
      <w:r w:rsidR="00716441" w:rsidRPr="00807F7C">
        <w:t xml:space="preserve">dass </w:t>
      </w:r>
      <w:r w:rsidR="00F9689B">
        <w:t xml:space="preserve">damit ein Anspruch auf Besoldung verbunden ist. </w:t>
      </w:r>
    </w:p>
    <w:p w14:paraId="3F7E1C4E" w14:textId="77777777" w:rsidR="00F9689B" w:rsidRDefault="00F9689B" w:rsidP="009F36DC">
      <w:pPr>
        <w:ind w:right="-26"/>
        <w:jc w:val="both"/>
      </w:pPr>
    </w:p>
    <w:p w14:paraId="3DE6283B" w14:textId="008EB228" w:rsidR="00F9689B" w:rsidRDefault="000524AE" w:rsidP="009F36DC">
      <w:pPr>
        <w:ind w:right="-26"/>
        <w:jc w:val="both"/>
      </w:pPr>
      <w:r>
        <w:t xml:space="preserve">Beachtlich ist </w:t>
      </w:r>
      <w:r w:rsidR="001076B6">
        <w:t>zudem</w:t>
      </w:r>
      <w:r>
        <w:t xml:space="preserve"> weiter, dass der Grundsatz der anteiligen Besoldung (vgl. § 6 BBesG oder vgl. Landesrecht) und </w:t>
      </w:r>
      <w:r w:rsidR="009F36DC">
        <w:t>damit</w:t>
      </w:r>
      <w:r>
        <w:t xml:space="preserve"> nur die zeitan</w:t>
      </w:r>
      <w:r w:rsidR="009F36DC">
        <w:t>t</w:t>
      </w:r>
      <w:r>
        <w:t>e</w:t>
      </w:r>
      <w:r w:rsidR="009F36DC">
        <w:t>i</w:t>
      </w:r>
      <w:r>
        <w:t xml:space="preserve">lige </w:t>
      </w:r>
      <w:r w:rsidR="009F36DC">
        <w:t>Gewährung</w:t>
      </w:r>
      <w:r>
        <w:t xml:space="preserve"> von Besoldung </w:t>
      </w:r>
      <w:r w:rsidR="0052328C">
        <w:t>höchstrichterlich</w:t>
      </w:r>
      <w:r>
        <w:t xml:space="preserve"> für </w:t>
      </w:r>
      <w:r w:rsidR="0052328C">
        <w:t>recht</w:t>
      </w:r>
      <w:r w:rsidR="00716441">
        <w:t xml:space="preserve">- und </w:t>
      </w:r>
      <w:r w:rsidR="00716441" w:rsidRPr="00AC3937">
        <w:t>verfassungs</w:t>
      </w:r>
      <w:r w:rsidR="0052328C" w:rsidRPr="00AC3937">
        <w:t>mäßig</w:t>
      </w:r>
      <w:r w:rsidRPr="00AC3937">
        <w:t xml:space="preserve"> erachte</w:t>
      </w:r>
      <w:r w:rsidR="00716441" w:rsidRPr="00AC3937">
        <w:t>t wurde</w:t>
      </w:r>
      <w:r w:rsidRPr="00AC3937">
        <w:t xml:space="preserve">. </w:t>
      </w:r>
    </w:p>
    <w:p w14:paraId="075C6587" w14:textId="77777777" w:rsidR="00F9689B" w:rsidRDefault="00F9689B" w:rsidP="009F36DC">
      <w:pPr>
        <w:ind w:right="-26"/>
        <w:jc w:val="both"/>
      </w:pPr>
    </w:p>
    <w:p w14:paraId="03237EB8" w14:textId="77777777" w:rsidR="00716441" w:rsidRPr="00B527EC" w:rsidRDefault="000524AE" w:rsidP="009F36DC">
      <w:pPr>
        <w:ind w:right="-26"/>
        <w:jc w:val="both"/>
      </w:pPr>
      <w:r>
        <w:t xml:space="preserve">Nicht unberücksichtigt </w:t>
      </w:r>
      <w:r w:rsidR="00F9689B">
        <w:t xml:space="preserve">bleiben </w:t>
      </w:r>
      <w:r>
        <w:t xml:space="preserve">kann </w:t>
      </w:r>
      <w:r w:rsidR="0052328C">
        <w:t>zudem</w:t>
      </w:r>
      <w:r>
        <w:t>, dass in den Besoldun</w:t>
      </w:r>
      <w:r w:rsidR="0052328C">
        <w:t>g</w:t>
      </w:r>
      <w:r>
        <w:t>srechtskr</w:t>
      </w:r>
      <w:r w:rsidR="00887E46">
        <w:t>e</w:t>
      </w:r>
      <w:r>
        <w:t xml:space="preserve">isen von </w:t>
      </w:r>
      <w:r w:rsidR="0052328C">
        <w:t>Bund</w:t>
      </w:r>
      <w:r>
        <w:t xml:space="preserve"> und Länder</w:t>
      </w:r>
      <w:r w:rsidR="009F18CE">
        <w:t>n</w:t>
      </w:r>
      <w:r>
        <w:t xml:space="preserve"> jeweils aufgrund und nach Maßgabe einer ges</w:t>
      </w:r>
      <w:r w:rsidR="0052328C">
        <w:t>etzlichen</w:t>
      </w:r>
      <w:r>
        <w:t xml:space="preserve"> Er</w:t>
      </w:r>
      <w:r w:rsidR="0052328C">
        <w:t>m</w:t>
      </w:r>
      <w:r>
        <w:t xml:space="preserve">ächtigung Überstunden- und </w:t>
      </w:r>
      <w:r w:rsidR="0052328C">
        <w:t>M</w:t>
      </w:r>
      <w:r w:rsidR="009F18CE">
        <w:t>ehrarbeitsvergütung</w:t>
      </w:r>
      <w:r w:rsidR="00716441">
        <w:t xml:space="preserve"> </w:t>
      </w:r>
      <w:r w:rsidR="00716441" w:rsidRPr="00B527EC">
        <w:t>sowie</w:t>
      </w:r>
      <w:r w:rsidRPr="00B527EC">
        <w:t xml:space="preserve"> E</w:t>
      </w:r>
      <w:r w:rsidR="009F18CE" w:rsidRPr="00B527EC">
        <w:t xml:space="preserve">rschwerniszulagen </w:t>
      </w:r>
      <w:r w:rsidR="00716441" w:rsidRPr="00B527EC">
        <w:t>jeweils unterschiedlich geregelt sein können und zudem</w:t>
      </w:r>
      <w:r w:rsidRPr="00B527EC">
        <w:t xml:space="preserve"> jeweils</w:t>
      </w:r>
      <w:r w:rsidR="00716441" w:rsidRPr="00B527EC">
        <w:t xml:space="preserve"> (</w:t>
      </w:r>
      <w:r w:rsidRPr="00B527EC">
        <w:t>z.</w:t>
      </w:r>
      <w:r w:rsidR="009F18CE" w:rsidRPr="00B527EC">
        <w:t> </w:t>
      </w:r>
      <w:r w:rsidRPr="00B527EC">
        <w:t xml:space="preserve">B. </w:t>
      </w:r>
      <w:r w:rsidR="0052328C" w:rsidRPr="00B527EC">
        <w:t>nach</w:t>
      </w:r>
      <w:r w:rsidRPr="00B527EC">
        <w:t xml:space="preserve"> Berufsgruppen</w:t>
      </w:r>
      <w:r w:rsidR="00716441" w:rsidRPr="00B527EC">
        <w:t>)</w:t>
      </w:r>
      <w:r w:rsidRPr="00B527EC">
        <w:t xml:space="preserve"> unterschiedliche Tatbestände für Art, Umfang und Maß von „Überstunden</w:t>
      </w:r>
      <w:r w:rsidR="0052328C" w:rsidRPr="00B527EC">
        <w:t>v</w:t>
      </w:r>
      <w:r w:rsidRPr="00B527EC">
        <w:t>erg</w:t>
      </w:r>
      <w:r w:rsidR="0052328C" w:rsidRPr="00B527EC">
        <w:t>ü</w:t>
      </w:r>
      <w:r w:rsidRPr="00B527EC">
        <w:t>t</w:t>
      </w:r>
      <w:r w:rsidR="0052328C" w:rsidRPr="00B527EC">
        <w:t>u</w:t>
      </w:r>
      <w:r w:rsidRPr="00B527EC">
        <w:t>ngen“ vorsehen</w:t>
      </w:r>
      <w:r w:rsidR="00716441" w:rsidRPr="00B527EC">
        <w:t xml:space="preserve"> können</w:t>
      </w:r>
      <w:r w:rsidRPr="00B527EC">
        <w:t xml:space="preserve">. </w:t>
      </w:r>
    </w:p>
    <w:p w14:paraId="26E13A91" w14:textId="77777777" w:rsidR="00B527EC" w:rsidRDefault="00B527EC" w:rsidP="009F36DC">
      <w:pPr>
        <w:ind w:right="-26"/>
        <w:jc w:val="both"/>
      </w:pPr>
    </w:p>
    <w:p w14:paraId="3B1BC3D9" w14:textId="7EFA8ECC" w:rsidR="00EF6F68" w:rsidRPr="00B527EC" w:rsidRDefault="000524AE" w:rsidP="009F36DC">
      <w:pPr>
        <w:ind w:right="-26"/>
        <w:jc w:val="both"/>
      </w:pPr>
      <w:r w:rsidRPr="00B527EC">
        <w:t xml:space="preserve">Davon </w:t>
      </w:r>
      <w:r w:rsidR="0052328C" w:rsidRPr="00B527EC">
        <w:t>unabhängig</w:t>
      </w:r>
      <w:r w:rsidR="00716441" w:rsidRPr="00B527EC">
        <w:t xml:space="preserve"> </w:t>
      </w:r>
      <w:r w:rsidRPr="00B527EC">
        <w:t>k</w:t>
      </w:r>
      <w:r w:rsidR="00716441" w:rsidRPr="00B527EC">
        <w:t>ann</w:t>
      </w:r>
      <w:r w:rsidRPr="00B527EC">
        <w:t xml:space="preserve"> zum jetzigen Kenntnisstand </w:t>
      </w:r>
      <w:r w:rsidR="00716441" w:rsidRPr="00B527EC">
        <w:t xml:space="preserve">in seriöser Weise </w:t>
      </w:r>
      <w:r w:rsidR="00887E46" w:rsidRPr="00B527EC">
        <w:t>w</w:t>
      </w:r>
      <w:r w:rsidRPr="00B527EC">
        <w:t xml:space="preserve">eder </w:t>
      </w:r>
      <w:r w:rsidR="0052328C" w:rsidRPr="00B527EC">
        <w:t>tatbestandlich</w:t>
      </w:r>
      <w:r w:rsidRPr="00B527EC">
        <w:t xml:space="preserve"> noch materi</w:t>
      </w:r>
      <w:r w:rsidR="00887E46" w:rsidRPr="00B527EC">
        <w:t>e</w:t>
      </w:r>
      <w:r w:rsidRPr="00B527EC">
        <w:t>l</w:t>
      </w:r>
      <w:r w:rsidR="00887E46" w:rsidRPr="00B527EC">
        <w:t>l</w:t>
      </w:r>
      <w:r w:rsidRPr="00B527EC">
        <w:t>recht</w:t>
      </w:r>
      <w:r w:rsidR="00887E46" w:rsidRPr="00B527EC">
        <w:t>lich ein „Musterantrag“ formuliert werden</w:t>
      </w:r>
      <w:r w:rsidR="00716441" w:rsidRPr="00B527EC">
        <w:t xml:space="preserve">, der alle vorkommenden Gegebenheiten </w:t>
      </w:r>
      <w:r w:rsidR="00B527EC">
        <w:t xml:space="preserve">von </w:t>
      </w:r>
      <w:r w:rsidR="00716441" w:rsidRPr="00B527EC">
        <w:t>eventuell geleisteten „Überstunde</w:t>
      </w:r>
      <w:r w:rsidR="00B527EC">
        <w:t>n</w:t>
      </w:r>
      <w:r w:rsidR="00716441" w:rsidRPr="00B527EC">
        <w:t xml:space="preserve">“ im oben dargestellten Sinn auch nur annähernd abdeckt </w:t>
      </w:r>
      <w:r w:rsidR="00B527EC">
        <w:t xml:space="preserve">- </w:t>
      </w:r>
      <w:r w:rsidR="00716441" w:rsidRPr="00B527EC">
        <w:t xml:space="preserve">und </w:t>
      </w:r>
      <w:r w:rsidRPr="00B527EC">
        <w:t xml:space="preserve">auch nur </w:t>
      </w:r>
      <w:r w:rsidR="0052328C" w:rsidRPr="00B527EC">
        <w:t>ansatzweise</w:t>
      </w:r>
      <w:r w:rsidRPr="00B527EC">
        <w:t xml:space="preserve"> von dem adressierten Dienstherrn nachvollzogen bzw. rechtlich eingeordnet werden k</w:t>
      </w:r>
      <w:r w:rsidR="00B527EC">
        <w:t>önnte</w:t>
      </w:r>
      <w:r w:rsidRPr="00B527EC">
        <w:t xml:space="preserve">. </w:t>
      </w:r>
    </w:p>
    <w:p w14:paraId="0DB8BE63" w14:textId="77777777" w:rsidR="00B527EC" w:rsidRDefault="00B527EC" w:rsidP="009F36DC">
      <w:pPr>
        <w:ind w:right="-26"/>
        <w:jc w:val="both"/>
      </w:pPr>
    </w:p>
    <w:p w14:paraId="3B6489EF" w14:textId="7706F0E0" w:rsidR="000524AE" w:rsidRPr="00B527EC" w:rsidRDefault="00EF6F68" w:rsidP="009F36DC">
      <w:pPr>
        <w:ind w:right="-26"/>
        <w:jc w:val="both"/>
      </w:pPr>
      <w:r w:rsidRPr="00B527EC">
        <w:t xml:space="preserve">Von daher wäre zum </w:t>
      </w:r>
      <w:r w:rsidR="000524AE" w:rsidRPr="00B527EC">
        <w:t>jetzigen Stand</w:t>
      </w:r>
      <w:r w:rsidRPr="00B527EC">
        <w:t xml:space="preserve"> </w:t>
      </w:r>
      <w:r w:rsidR="000524AE" w:rsidRPr="00B527EC">
        <w:t xml:space="preserve">aufgrund </w:t>
      </w:r>
      <w:r w:rsidR="00887E46" w:rsidRPr="00B527EC">
        <w:t xml:space="preserve">der </w:t>
      </w:r>
      <w:r w:rsidR="000524AE" w:rsidRPr="00B527EC">
        <w:t xml:space="preserve">Bindung </w:t>
      </w:r>
      <w:r w:rsidR="00887E46" w:rsidRPr="00B527EC">
        <w:t xml:space="preserve">an </w:t>
      </w:r>
      <w:r w:rsidR="000524AE" w:rsidRPr="00B527EC">
        <w:t xml:space="preserve">Recht und </w:t>
      </w:r>
      <w:r w:rsidR="0052328C" w:rsidRPr="00B527EC">
        <w:t>Gesetz</w:t>
      </w:r>
      <w:r w:rsidR="000524AE" w:rsidRPr="00B527EC">
        <w:t xml:space="preserve"> jeder </w:t>
      </w:r>
      <w:r w:rsidR="0052328C" w:rsidRPr="00B527EC">
        <w:t>D</w:t>
      </w:r>
      <w:r w:rsidR="000524AE" w:rsidRPr="00B527EC">
        <w:t xml:space="preserve">ienstherr </w:t>
      </w:r>
      <w:r w:rsidR="0052328C" w:rsidRPr="00B527EC">
        <w:t>verpflichtet</w:t>
      </w:r>
      <w:r w:rsidR="000524AE" w:rsidRPr="00B527EC">
        <w:t xml:space="preserve">, </w:t>
      </w:r>
      <w:r w:rsidRPr="00B527EC">
        <w:t xml:space="preserve">entsprechende </w:t>
      </w:r>
      <w:r w:rsidR="000524AE" w:rsidRPr="00B527EC">
        <w:t>unsubstantiierte und materiell</w:t>
      </w:r>
      <w:r w:rsidR="00B527EC">
        <w:t>-</w:t>
      </w:r>
      <w:r w:rsidR="000524AE" w:rsidRPr="00B527EC">
        <w:t xml:space="preserve">rechtliche </w:t>
      </w:r>
      <w:r w:rsidRPr="00B527EC">
        <w:t xml:space="preserve">„offen“ formulierte </w:t>
      </w:r>
      <w:r w:rsidR="000524AE" w:rsidRPr="00B527EC">
        <w:t xml:space="preserve">Anträge zurückzuweisen. </w:t>
      </w:r>
    </w:p>
    <w:p w14:paraId="1B559ED9" w14:textId="29847D6D" w:rsidR="00870344" w:rsidRDefault="004E3A6D" w:rsidP="009F36DC">
      <w:pPr>
        <w:ind w:right="480"/>
        <w:jc w:val="both"/>
      </w:pPr>
      <w:r>
        <w:br w:type="column"/>
      </w:r>
    </w:p>
    <w:p w14:paraId="37EEBF2A" w14:textId="74DE7F6B" w:rsidR="009B551A" w:rsidRPr="00B527EC" w:rsidRDefault="00EF6F68" w:rsidP="005A6DA0">
      <w:pPr>
        <w:ind w:right="-26"/>
        <w:jc w:val="both"/>
      </w:pPr>
      <w:r w:rsidRPr="00B527EC">
        <w:t>Zum jetzigen Zeitpunkt</w:t>
      </w:r>
      <w:r w:rsidR="000524AE" w:rsidRPr="00B527EC">
        <w:t xml:space="preserve"> ist</w:t>
      </w:r>
      <w:r w:rsidRPr="00B527EC">
        <w:t xml:space="preserve"> zwar</w:t>
      </w:r>
      <w:r w:rsidR="000524AE" w:rsidRPr="00B527EC">
        <w:t xml:space="preserve"> nicht gänzlich </w:t>
      </w:r>
      <w:r w:rsidR="0052328C" w:rsidRPr="00B527EC">
        <w:t>auszuschließen</w:t>
      </w:r>
      <w:r w:rsidR="000524AE" w:rsidRPr="00B527EC">
        <w:t xml:space="preserve">, dass die Vorgaben aus der </w:t>
      </w:r>
      <w:r w:rsidR="0052328C" w:rsidRPr="00B527EC">
        <w:t>Rechtsprechung</w:t>
      </w:r>
      <w:r w:rsidR="000524AE" w:rsidRPr="00B527EC">
        <w:t xml:space="preserve"> des EuGH in weiterer Zukunft mittelbar ein</w:t>
      </w:r>
      <w:r w:rsidRPr="00B527EC">
        <w:t xml:space="preserve"> Nachsteuern </w:t>
      </w:r>
      <w:r w:rsidR="000524AE" w:rsidRPr="00B527EC">
        <w:t xml:space="preserve">in den Beamten- und Besoldungsrechtskreisen im Bereich des Gesetzesvorbehaltes </w:t>
      </w:r>
      <w:r w:rsidR="00B527EC">
        <w:t>notwendig machen, bei de</w:t>
      </w:r>
      <w:r w:rsidR="004E3A6D">
        <w:t>n</w:t>
      </w:r>
      <w:r w:rsidR="00B527EC">
        <w:t xml:space="preserve"> </w:t>
      </w:r>
      <w:r w:rsidR="000524AE" w:rsidRPr="00B527EC">
        <w:t xml:space="preserve">Präzisierungen und Nachschärfungen </w:t>
      </w:r>
      <w:r w:rsidR="00B527EC">
        <w:t>möglich sind.</w:t>
      </w:r>
      <w:r w:rsidR="005A6DA0" w:rsidRPr="00B527EC">
        <w:t xml:space="preserve"> </w:t>
      </w:r>
      <w:r w:rsidR="00B527EC">
        <w:t>J</w:t>
      </w:r>
      <w:r w:rsidR="005A6DA0" w:rsidRPr="00B527EC">
        <w:t xml:space="preserve">edoch ist dies nach jetzigem Kenntnisstand und den noch nicht für den Beamtenbereich vorliegenden Entscheidungen </w:t>
      </w:r>
      <w:r w:rsidR="00B527EC">
        <w:t xml:space="preserve">nur </w:t>
      </w:r>
      <w:r w:rsidR="005A6DA0" w:rsidRPr="00B527EC">
        <w:t>eingeschränkt und mittelbar zu schlussfolgern</w:t>
      </w:r>
      <w:r w:rsidR="000524AE" w:rsidRPr="00B527EC">
        <w:t>.</w:t>
      </w:r>
      <w:r w:rsidR="005A6DA0" w:rsidRPr="00B527EC">
        <w:t xml:space="preserve"> </w:t>
      </w:r>
    </w:p>
    <w:p w14:paraId="6218C4E0" w14:textId="77777777" w:rsidR="005A6DA0" w:rsidRPr="00B527EC" w:rsidRDefault="005A6DA0" w:rsidP="00F81779">
      <w:pPr>
        <w:ind w:right="-26"/>
        <w:jc w:val="both"/>
      </w:pPr>
    </w:p>
    <w:p w14:paraId="353C1400" w14:textId="7EB6BC68" w:rsidR="00F81779" w:rsidRPr="00B527EC" w:rsidRDefault="005A6DA0" w:rsidP="00F81779">
      <w:pPr>
        <w:ind w:right="-26"/>
        <w:jc w:val="both"/>
        <w:rPr>
          <w:b/>
          <w:bCs/>
          <w:szCs w:val="24"/>
        </w:rPr>
      </w:pPr>
      <w:r w:rsidRPr="00B527EC">
        <w:t xml:space="preserve">Von daher </w:t>
      </w:r>
      <w:r w:rsidR="00F81779" w:rsidRPr="00B527EC">
        <w:t>ergibt sich, dass tatbestandlich und rechtlich die o.</w:t>
      </w:r>
      <w:r w:rsidR="009F18CE" w:rsidRPr="00B527EC">
        <w:t xml:space="preserve"> </w:t>
      </w:r>
      <w:r w:rsidR="00F81779" w:rsidRPr="00B527EC">
        <w:t xml:space="preserve">g. Entscheidungen </w:t>
      </w:r>
      <w:r w:rsidRPr="00B527EC">
        <w:t xml:space="preserve">des EuGH sowie des BAG </w:t>
      </w:r>
      <w:r w:rsidR="00F81779" w:rsidRPr="00B527EC">
        <w:t xml:space="preserve">für unmittelbare materiell-rechtliche Ansprüche für Beamten unergiebig </w:t>
      </w:r>
      <w:r w:rsidRPr="00B527EC">
        <w:t>und von den Dienstherrn zurückzuweisen sind.</w:t>
      </w:r>
    </w:p>
    <w:p w14:paraId="42344BCA" w14:textId="77777777" w:rsidR="00F81779" w:rsidRPr="00B527EC" w:rsidRDefault="00F81779" w:rsidP="009B551A">
      <w:pPr>
        <w:jc w:val="both"/>
        <w:rPr>
          <w:b/>
          <w:bCs/>
          <w:szCs w:val="24"/>
        </w:rPr>
      </w:pPr>
    </w:p>
    <w:p w14:paraId="6F4EBD4D" w14:textId="7F5D87EB" w:rsidR="009B551A" w:rsidRPr="001076B6" w:rsidRDefault="009B551A" w:rsidP="009B551A">
      <w:pPr>
        <w:jc w:val="both"/>
        <w:rPr>
          <w:b/>
          <w:bCs/>
          <w:szCs w:val="24"/>
        </w:rPr>
      </w:pPr>
      <w:r w:rsidRPr="001076B6">
        <w:rPr>
          <w:b/>
          <w:bCs/>
          <w:szCs w:val="24"/>
        </w:rPr>
        <w:t>Mittelbare Benachteiligung wegen des Geschlechts</w:t>
      </w:r>
    </w:p>
    <w:p w14:paraId="35A9D744" w14:textId="77777777" w:rsidR="00054F00" w:rsidRDefault="00054F00" w:rsidP="009B551A">
      <w:pPr>
        <w:jc w:val="both"/>
        <w:rPr>
          <w:szCs w:val="24"/>
        </w:rPr>
      </w:pPr>
    </w:p>
    <w:p w14:paraId="3AC128D6" w14:textId="3025679D" w:rsidR="009B551A" w:rsidRPr="001076B6" w:rsidRDefault="009B551A" w:rsidP="009B551A">
      <w:pPr>
        <w:jc w:val="both"/>
        <w:rPr>
          <w:szCs w:val="24"/>
        </w:rPr>
      </w:pPr>
      <w:r w:rsidRPr="001076B6">
        <w:rPr>
          <w:szCs w:val="24"/>
        </w:rPr>
        <w:t xml:space="preserve">Eine nicht sachlich gerechtfertigte Ungleichbehandlung von Teilzeitbeschäftigten kann außerdem laut BAG eine mittelbare Benachteiligung wegen des (weiblichen) Geschlechts darstellen, wenn innerhalb der betroffenen Gruppe der Teilzeitbeschäftigten erheblich mehr Frauen als Männer vertreten sind. </w:t>
      </w:r>
      <w:r w:rsidR="00B527EC">
        <w:rPr>
          <w:szCs w:val="24"/>
        </w:rPr>
        <w:t xml:space="preserve">Hierzu können jedoch hier und heute keine belastbaren Aussagen getroffen werden. </w:t>
      </w:r>
    </w:p>
    <w:p w14:paraId="40FF73FD" w14:textId="77777777" w:rsidR="00870344" w:rsidRDefault="00870344" w:rsidP="000A6C44">
      <w:pPr>
        <w:ind w:right="480"/>
        <w:jc w:val="both"/>
      </w:pPr>
    </w:p>
    <w:p w14:paraId="6B162B84" w14:textId="299F9780" w:rsidR="009F18CE" w:rsidRPr="009F18CE" w:rsidRDefault="009F18CE" w:rsidP="0083371F">
      <w:pPr>
        <w:tabs>
          <w:tab w:val="left" w:pos="426"/>
        </w:tabs>
        <w:jc w:val="both"/>
      </w:pPr>
      <w:r>
        <w:rPr>
          <w:szCs w:val="24"/>
        </w:rPr>
        <w:t xml:space="preserve">Der dbb beamtenbund und tarifunion wird sich weiter mit dem Anliegen zeitnah befassen und unter Berücksichtigung der Entwicklungen über das weitere Vorgehen entscheiden </w:t>
      </w:r>
      <w:r w:rsidR="004E3A6D">
        <w:rPr>
          <w:szCs w:val="24"/>
        </w:rPr>
        <w:t xml:space="preserve">– </w:t>
      </w:r>
      <w:r>
        <w:rPr>
          <w:szCs w:val="24"/>
        </w:rPr>
        <w:t xml:space="preserve">sowie dann über die Sach- und Rechtslage berichten. Insofern wird der dbb diesbezüglich auch im Beamtenbereich zum jetzigen Zeitpunkt keinen Einzelfallrechtsschutz </w:t>
      </w:r>
      <w:r w:rsidRPr="007F7EB4">
        <w:rPr>
          <w:szCs w:val="24"/>
        </w:rPr>
        <w:t xml:space="preserve">über die Dienstleistungszentren </w:t>
      </w:r>
      <w:r>
        <w:rPr>
          <w:szCs w:val="24"/>
        </w:rPr>
        <w:t>durchführen.</w:t>
      </w:r>
      <w:r w:rsidR="0083371F">
        <w:rPr>
          <w:szCs w:val="24"/>
        </w:rPr>
        <w:t xml:space="preserve"> </w:t>
      </w:r>
      <w:r w:rsidRPr="009F18CE">
        <w:t>Ob der jeweils für die Landesbesoldungsgesetzgebung zuständige Landesbund</w:t>
      </w:r>
      <w:r w:rsidR="005A6DA0">
        <w:t xml:space="preserve">, </w:t>
      </w:r>
      <w:r w:rsidRPr="009F18CE">
        <w:t xml:space="preserve">trotz der </w:t>
      </w:r>
      <w:r w:rsidR="0083371F">
        <w:t xml:space="preserve">heute erkennbaren und </w:t>
      </w:r>
      <w:r w:rsidRPr="009F18CE">
        <w:t xml:space="preserve">dargestellten </w:t>
      </w:r>
      <w:r w:rsidR="00054F00" w:rsidRPr="009F18CE">
        <w:t>Sachlage</w:t>
      </w:r>
      <w:r w:rsidRPr="009F18CE">
        <w:t xml:space="preserve"> </w:t>
      </w:r>
      <w:r w:rsidR="0083371F">
        <w:t>„</w:t>
      </w:r>
      <w:r w:rsidRPr="009F18CE">
        <w:t>Musterverfahren</w:t>
      </w:r>
      <w:r w:rsidR="0083371F">
        <w:t>“</w:t>
      </w:r>
      <w:r w:rsidRPr="009F18CE">
        <w:t xml:space="preserve"> führt, wird von Seiten des dbb </w:t>
      </w:r>
      <w:proofErr w:type="spellStart"/>
      <w:r w:rsidRPr="009F18CE">
        <w:t>bund</w:t>
      </w:r>
      <w:proofErr w:type="spellEnd"/>
      <w:r w:rsidRPr="009F18CE">
        <w:t xml:space="preserve"> nicht beurteilt. </w:t>
      </w:r>
    </w:p>
    <w:p w14:paraId="4C9066C8" w14:textId="77777777" w:rsidR="009F18CE" w:rsidRPr="009F18CE" w:rsidRDefault="009F18CE" w:rsidP="009F18CE">
      <w:pPr>
        <w:ind w:right="480"/>
        <w:jc w:val="both"/>
      </w:pPr>
    </w:p>
    <w:p w14:paraId="4CB37803" w14:textId="77777777" w:rsidR="00054F00" w:rsidRDefault="00054F00" w:rsidP="000A6C44">
      <w:pPr>
        <w:ind w:right="480"/>
        <w:jc w:val="both"/>
      </w:pPr>
    </w:p>
    <w:p w14:paraId="05EA1F95" w14:textId="57903B8C" w:rsidR="003A4DC2" w:rsidRDefault="003A4DC2" w:rsidP="000A6C44">
      <w:pPr>
        <w:ind w:right="480"/>
        <w:jc w:val="both"/>
      </w:pPr>
      <w:r w:rsidRPr="00A70C88">
        <w:t>Mit kollegialen Grüßen</w:t>
      </w:r>
    </w:p>
    <w:p w14:paraId="01CA3C86" w14:textId="77777777" w:rsidR="003A4DC2" w:rsidRDefault="003A4DC2" w:rsidP="000A6C44">
      <w:pPr>
        <w:ind w:right="480"/>
        <w:jc w:val="both"/>
      </w:pPr>
    </w:p>
    <w:p w14:paraId="4680864B" w14:textId="77777777" w:rsidR="003A4DC2" w:rsidRDefault="003A4DC2" w:rsidP="000A6C44">
      <w:pPr>
        <w:ind w:right="480"/>
        <w:jc w:val="both"/>
      </w:pPr>
    </w:p>
    <w:p w14:paraId="735DBAD3" w14:textId="77777777" w:rsidR="009F18CE" w:rsidRDefault="009F18CE" w:rsidP="000A6C44">
      <w:pPr>
        <w:ind w:right="480"/>
        <w:jc w:val="both"/>
      </w:pPr>
    </w:p>
    <w:p w14:paraId="7A45C8C2" w14:textId="77777777" w:rsidR="00870344" w:rsidRDefault="00870344" w:rsidP="000A6C44">
      <w:pPr>
        <w:ind w:right="480"/>
        <w:jc w:val="both"/>
      </w:pPr>
      <w:r>
        <w:t xml:space="preserve">Ulrich Silberbach </w:t>
      </w:r>
    </w:p>
    <w:p w14:paraId="72F574C1" w14:textId="52DD4825" w:rsidR="00870344" w:rsidRDefault="009F18CE" w:rsidP="000A6C44">
      <w:pPr>
        <w:ind w:right="480"/>
        <w:jc w:val="both"/>
      </w:pPr>
      <w:r>
        <w:t>Bundesvorsitzender</w:t>
      </w:r>
    </w:p>
    <w:sectPr w:rsidR="00870344" w:rsidSect="00054F00">
      <w:headerReference w:type="even" r:id="rId7"/>
      <w:headerReference w:type="default" r:id="rId8"/>
      <w:headerReference w:type="first" r:id="rId9"/>
      <w:pgSz w:w="11906" w:h="16838"/>
      <w:pgMar w:top="851" w:right="1134" w:bottom="1134"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18DA" w14:textId="77777777" w:rsidR="00C90CB7" w:rsidRDefault="00C90CB7">
      <w:r>
        <w:separator/>
      </w:r>
    </w:p>
  </w:endnote>
  <w:endnote w:type="continuationSeparator" w:id="0">
    <w:p w14:paraId="73CFE52E" w14:textId="77777777" w:rsidR="00C90CB7" w:rsidRDefault="00C9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30403020602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8E17" w14:textId="77777777" w:rsidR="00C90CB7" w:rsidRDefault="00C90CB7">
      <w:r>
        <w:separator/>
      </w:r>
    </w:p>
  </w:footnote>
  <w:footnote w:type="continuationSeparator" w:id="0">
    <w:p w14:paraId="6F7CDD17" w14:textId="77777777" w:rsidR="00C90CB7" w:rsidRDefault="00C9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0478" w14:textId="77777777" w:rsidR="00904195" w:rsidRDefault="00904195">
    <w:pPr>
      <w:pStyle w:val="Kopfzeile"/>
      <w:rPr>
        <w:rStyle w:val="Seitenzahl"/>
      </w:rPr>
    </w:pPr>
    <w:r>
      <w:rPr>
        <w:rStyle w:val="Seitenzahl"/>
      </w:rPr>
      <w:fldChar w:fldCharType="begin"/>
    </w:r>
    <w:r>
      <w:rPr>
        <w:rStyle w:val="Seitenzahl"/>
      </w:rPr>
      <w:instrText xml:space="preserve">PAGE  </w:instrText>
    </w:r>
    <w:r>
      <w:rPr>
        <w:rStyle w:val="Seitenzahl"/>
      </w:rPr>
      <w:fldChar w:fldCharType="end"/>
    </w:r>
  </w:p>
  <w:p w14:paraId="596D3CFE" w14:textId="77777777" w:rsidR="00904195" w:rsidRDefault="009041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7E2D" w14:textId="77777777" w:rsidR="00904195" w:rsidRDefault="00904195">
    <w:pPr>
      <w:pStyle w:val="Kopfzeile"/>
      <w:rPr>
        <w:rStyle w:val="Seitenzahl"/>
      </w:rPr>
    </w:pPr>
    <w:r>
      <w:rPr>
        <w:rStyle w:val="Seitenzahl"/>
      </w:rPr>
      <w:fldChar w:fldCharType="begin"/>
    </w:r>
    <w:r>
      <w:rPr>
        <w:rStyle w:val="Seitenzahl"/>
      </w:rPr>
      <w:instrText xml:space="preserve">PAGE  </w:instrText>
    </w:r>
    <w:r>
      <w:rPr>
        <w:rStyle w:val="Seitenzahl"/>
      </w:rPr>
      <w:fldChar w:fldCharType="separate"/>
    </w:r>
    <w:r w:rsidR="00F94048">
      <w:rPr>
        <w:rStyle w:val="Seitenzahl"/>
        <w:noProof/>
      </w:rPr>
      <w:t>2</w:t>
    </w:r>
    <w:r>
      <w:rPr>
        <w:rStyle w:val="Seitenzahl"/>
      </w:rPr>
      <w:fldChar w:fldCharType="end"/>
    </w:r>
  </w:p>
  <w:p w14:paraId="0DAF611D" w14:textId="77777777" w:rsidR="00904195" w:rsidRDefault="009041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124D" w14:textId="7B9F81EC" w:rsidR="00904195" w:rsidRDefault="00904195">
    <w:pPr>
      <w:tabs>
        <w:tab w:val="left" w:pos="-4536"/>
        <w:tab w:val="left" w:pos="6407"/>
        <w:tab w:val="left" w:pos="6521"/>
      </w:tabs>
      <w:ind w:right="-427"/>
      <w:rPr>
        <w:sz w:val="16"/>
      </w:rPr>
    </w:pPr>
    <w:r>
      <w:rPr>
        <w:sz w:val="16"/>
      </w:rPr>
      <w:tab/>
    </w:r>
    <w:r w:rsidR="00EC41A1">
      <w:rPr>
        <w:noProof/>
        <w:sz w:val="16"/>
      </w:rPr>
      <w:drawing>
        <wp:inline distT="0" distB="0" distL="0" distR="0" wp14:anchorId="636E3732" wp14:editId="03E4CD2A">
          <wp:extent cx="2035175" cy="6184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175" cy="618490"/>
                  </a:xfrm>
                  <a:prstGeom prst="rect">
                    <a:avLst/>
                  </a:prstGeom>
                  <a:noFill/>
                  <a:ln>
                    <a:noFill/>
                  </a:ln>
                </pic:spPr>
              </pic:pic>
            </a:graphicData>
          </a:graphic>
        </wp:inline>
      </w:drawing>
    </w:r>
  </w:p>
  <w:p w14:paraId="7E5FCA71" w14:textId="77777777" w:rsidR="00904195" w:rsidRDefault="00904195">
    <w:pPr>
      <w:tabs>
        <w:tab w:val="left" w:pos="-4536"/>
        <w:tab w:val="left" w:pos="6407"/>
        <w:tab w:val="left" w:pos="6521"/>
      </w:tabs>
      <w:ind w:right="-427"/>
      <w:rPr>
        <w:sz w:val="16"/>
      </w:rPr>
    </w:pPr>
  </w:p>
  <w:p w14:paraId="3BE65347" w14:textId="77777777" w:rsidR="00904195" w:rsidRDefault="00904195">
    <w:pPr>
      <w:tabs>
        <w:tab w:val="left" w:pos="-4536"/>
        <w:tab w:val="left" w:pos="6407"/>
        <w:tab w:val="left" w:pos="6521"/>
      </w:tabs>
      <w:ind w:right="-427"/>
      <w:rPr>
        <w:sz w:val="16"/>
      </w:rPr>
    </w:pPr>
  </w:p>
  <w:p w14:paraId="0E1598F2" w14:textId="77777777" w:rsidR="00904195" w:rsidRDefault="00904195">
    <w:pPr>
      <w:tabs>
        <w:tab w:val="left" w:pos="-4536"/>
        <w:tab w:val="left" w:pos="7938"/>
      </w:tabs>
      <w:ind w:right="-427"/>
      <w:rPr>
        <w:sz w:val="20"/>
      </w:rPr>
    </w:pPr>
    <w:r>
      <w:rPr>
        <w:sz w:val="16"/>
      </w:rPr>
      <w:tab/>
    </w:r>
    <w:r>
      <w:rPr>
        <w:sz w:val="20"/>
      </w:rPr>
      <w:t>Bundesleitung</w:t>
    </w:r>
  </w:p>
  <w:p w14:paraId="6D9940B2" w14:textId="77777777" w:rsidR="00904195" w:rsidRDefault="00904195">
    <w:pPr>
      <w:tabs>
        <w:tab w:val="left" w:pos="-4536"/>
        <w:tab w:val="left" w:pos="7938"/>
      </w:tabs>
      <w:ind w:right="-427"/>
      <w:rPr>
        <w:sz w:val="20"/>
      </w:rPr>
    </w:pPr>
  </w:p>
  <w:p w14:paraId="2B53E321" w14:textId="77777777" w:rsidR="00904195" w:rsidRDefault="00A15C5A">
    <w:pPr>
      <w:tabs>
        <w:tab w:val="left" w:pos="-4536"/>
        <w:tab w:val="left" w:pos="7938"/>
      </w:tabs>
      <w:ind w:right="-427"/>
      <w:rPr>
        <w:sz w:val="16"/>
      </w:rPr>
    </w:pPr>
    <w:r>
      <w:rPr>
        <w:sz w:val="16"/>
      </w:rPr>
      <w:tab/>
      <w:t>Friedrichstraße 169</w:t>
    </w:r>
  </w:p>
  <w:p w14:paraId="4C3D2335" w14:textId="77777777" w:rsidR="00904195" w:rsidRDefault="00904195">
    <w:pPr>
      <w:tabs>
        <w:tab w:val="left" w:pos="-4536"/>
        <w:tab w:val="left" w:pos="7938"/>
      </w:tabs>
      <w:ind w:right="-427"/>
      <w:rPr>
        <w:sz w:val="16"/>
      </w:rPr>
    </w:pPr>
    <w:r>
      <w:rPr>
        <w:sz w:val="16"/>
      </w:rPr>
      <w:tab/>
      <w:t>D-10117 Berlin</w:t>
    </w:r>
  </w:p>
  <w:p w14:paraId="607C8743" w14:textId="77777777" w:rsidR="00904195" w:rsidRDefault="00904195">
    <w:pPr>
      <w:tabs>
        <w:tab w:val="left" w:pos="-4536"/>
        <w:tab w:val="left" w:pos="7938"/>
      </w:tabs>
      <w:ind w:right="-427"/>
      <w:rPr>
        <w:sz w:val="12"/>
      </w:rPr>
    </w:pPr>
    <w:r>
      <w:rPr>
        <w:sz w:val="12"/>
      </w:rPr>
      <w:tab/>
    </w:r>
  </w:p>
  <w:p w14:paraId="245DFB78" w14:textId="77777777" w:rsidR="00904195" w:rsidRDefault="00904195">
    <w:pPr>
      <w:tabs>
        <w:tab w:val="left" w:pos="7938"/>
      </w:tabs>
      <w:ind w:right="-427"/>
      <w:rPr>
        <w:sz w:val="16"/>
      </w:rPr>
    </w:pPr>
    <w:r>
      <w:rPr>
        <w:sz w:val="16"/>
      </w:rPr>
      <w:tab/>
      <w:t>Telefon</w:t>
    </w:r>
    <w:r>
      <w:rPr>
        <w:sz w:val="16"/>
      </w:rPr>
      <w:tab/>
      <w:t>030.40 81-4</w:t>
    </w:r>
    <w:r w:rsidR="00196EE3">
      <w:rPr>
        <w:sz w:val="16"/>
      </w:rPr>
      <w:t>1 01</w:t>
    </w:r>
  </w:p>
  <w:p w14:paraId="4484F42C" w14:textId="77777777" w:rsidR="00904195" w:rsidRDefault="00904195">
    <w:pPr>
      <w:tabs>
        <w:tab w:val="left" w:pos="-4395"/>
        <w:tab w:val="left" w:pos="7938"/>
      </w:tabs>
      <w:ind w:right="-427"/>
      <w:rPr>
        <w:sz w:val="16"/>
      </w:rPr>
    </w:pPr>
    <w:r>
      <w:rPr>
        <w:sz w:val="16"/>
      </w:rPr>
      <w:tab/>
      <w:t>Telefax</w:t>
    </w:r>
    <w:r>
      <w:rPr>
        <w:sz w:val="16"/>
      </w:rPr>
      <w:tab/>
      <w:t>030.40 81-4</w:t>
    </w:r>
    <w:r w:rsidR="00196EE3">
      <w:rPr>
        <w:sz w:val="16"/>
      </w:rPr>
      <w:t xml:space="preserve">1 </w:t>
    </w:r>
    <w:r>
      <w:rPr>
        <w:sz w:val="16"/>
      </w:rPr>
      <w:t>99</w:t>
    </w:r>
  </w:p>
  <w:p w14:paraId="3B98240F" w14:textId="77777777" w:rsidR="00904195" w:rsidRDefault="00904195">
    <w:pPr>
      <w:tabs>
        <w:tab w:val="left" w:pos="7938"/>
      </w:tabs>
      <w:ind w:right="-427"/>
      <w:rPr>
        <w:sz w:val="16"/>
      </w:rPr>
    </w:pPr>
    <w:r>
      <w:rPr>
        <w:sz w:val="16"/>
      </w:rPr>
      <w:tab/>
    </w:r>
    <w:hyperlink r:id="rId2" w:history="1">
      <w:r w:rsidR="00196EE3" w:rsidRPr="00586154">
        <w:rPr>
          <w:rStyle w:val="Hyperlink"/>
          <w:sz w:val="16"/>
        </w:rPr>
        <w:t>bundesleitung@dbb.de</w:t>
      </w:r>
    </w:hyperlink>
    <w:r w:rsidR="00196EE3">
      <w:rPr>
        <w:sz w:val="16"/>
      </w:rPr>
      <w:t xml:space="preserve"> </w:t>
    </w:r>
  </w:p>
  <w:p w14:paraId="56AC38C0" w14:textId="77777777" w:rsidR="00904195" w:rsidRDefault="00904195">
    <w:pPr>
      <w:tabs>
        <w:tab w:val="left" w:pos="-4536"/>
        <w:tab w:val="left" w:pos="7938"/>
      </w:tabs>
      <w:ind w:right="-427"/>
      <w:rPr>
        <w:sz w:val="16"/>
      </w:rPr>
    </w:pPr>
    <w:r>
      <w:rPr>
        <w:sz w:val="12"/>
      </w:rPr>
      <w:t>dbb beamtenbund und tarifunion  Friedrichstraße 169  10117 Berlin</w:t>
    </w:r>
    <w:r>
      <w:rPr>
        <w:sz w:val="12"/>
      </w:rPr>
      <w:tab/>
    </w:r>
    <w:hyperlink r:id="rId3" w:history="1">
      <w:r w:rsidR="00196EE3" w:rsidRPr="00586154">
        <w:rPr>
          <w:rStyle w:val="Hyperlink"/>
          <w:sz w:val="16"/>
        </w:rPr>
        <w:t>www.dbb.de</w:t>
      </w:r>
    </w:hyperlink>
    <w:r w:rsidR="00196EE3">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3FBC"/>
    <w:multiLevelType w:val="hybridMultilevel"/>
    <w:tmpl w:val="B9C0B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5C5404"/>
    <w:multiLevelType w:val="hybridMultilevel"/>
    <w:tmpl w:val="EEA6F9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7C020E4"/>
    <w:multiLevelType w:val="hybridMultilevel"/>
    <w:tmpl w:val="EA6857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6438A5"/>
    <w:multiLevelType w:val="hybridMultilevel"/>
    <w:tmpl w:val="7C2899F4"/>
    <w:lvl w:ilvl="0" w:tplc="A688623E">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E9A29B2"/>
    <w:multiLevelType w:val="hybridMultilevel"/>
    <w:tmpl w:val="9244DEA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16cid:durableId="371927798">
    <w:abstractNumId w:val="3"/>
  </w:num>
  <w:num w:numId="2" w16cid:durableId="1684016214">
    <w:abstractNumId w:val="4"/>
  </w:num>
  <w:num w:numId="3" w16cid:durableId="55474384">
    <w:abstractNumId w:val="0"/>
  </w:num>
  <w:num w:numId="4" w16cid:durableId="1755934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6512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activeWritingStyle w:appName="MSWord" w:lang="de-DE" w:vendorID="9" w:dllVersion="512" w:checkStyle="1"/>
  <w:proofState w:spelling="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9F31C58-4EA1-41D3-BEF2-61020AFC713A}"/>
    <w:docVar w:name="dgnword-eventsink" w:val="239461640"/>
  </w:docVars>
  <w:rsids>
    <w:rsidRoot w:val="003A4DC2"/>
    <w:rsid w:val="00026010"/>
    <w:rsid w:val="00042CE5"/>
    <w:rsid w:val="00045175"/>
    <w:rsid w:val="000524AE"/>
    <w:rsid w:val="00054F00"/>
    <w:rsid w:val="00080803"/>
    <w:rsid w:val="00080FF5"/>
    <w:rsid w:val="000A6C44"/>
    <w:rsid w:val="000B1D0F"/>
    <w:rsid w:val="000B1D94"/>
    <w:rsid w:val="000B4C4B"/>
    <w:rsid w:val="001076B6"/>
    <w:rsid w:val="00131804"/>
    <w:rsid w:val="00134F1C"/>
    <w:rsid w:val="00141248"/>
    <w:rsid w:val="001429C1"/>
    <w:rsid w:val="001436DA"/>
    <w:rsid w:val="00171B91"/>
    <w:rsid w:val="00187B50"/>
    <w:rsid w:val="00196D67"/>
    <w:rsid w:val="00196EE3"/>
    <w:rsid w:val="001E713C"/>
    <w:rsid w:val="001F3C74"/>
    <w:rsid w:val="001F7B2D"/>
    <w:rsid w:val="002327D6"/>
    <w:rsid w:val="00250F54"/>
    <w:rsid w:val="00263B3E"/>
    <w:rsid w:val="002A0083"/>
    <w:rsid w:val="002A398B"/>
    <w:rsid w:val="002C4700"/>
    <w:rsid w:val="002F5AD1"/>
    <w:rsid w:val="00303162"/>
    <w:rsid w:val="00314A52"/>
    <w:rsid w:val="0032611D"/>
    <w:rsid w:val="003632B3"/>
    <w:rsid w:val="00393FAC"/>
    <w:rsid w:val="003A1427"/>
    <w:rsid w:val="003A4DC2"/>
    <w:rsid w:val="003E412E"/>
    <w:rsid w:val="003E76FA"/>
    <w:rsid w:val="00407B2C"/>
    <w:rsid w:val="00413D07"/>
    <w:rsid w:val="00432113"/>
    <w:rsid w:val="00444F56"/>
    <w:rsid w:val="00456F73"/>
    <w:rsid w:val="00481993"/>
    <w:rsid w:val="004A24DB"/>
    <w:rsid w:val="004A3994"/>
    <w:rsid w:val="004C72B0"/>
    <w:rsid w:val="004E3A6D"/>
    <w:rsid w:val="004F1A1D"/>
    <w:rsid w:val="00506069"/>
    <w:rsid w:val="005123C4"/>
    <w:rsid w:val="0052328C"/>
    <w:rsid w:val="005535B2"/>
    <w:rsid w:val="0057161F"/>
    <w:rsid w:val="00574A4D"/>
    <w:rsid w:val="005770B8"/>
    <w:rsid w:val="005771B9"/>
    <w:rsid w:val="00594974"/>
    <w:rsid w:val="005A3D2F"/>
    <w:rsid w:val="005A6DA0"/>
    <w:rsid w:val="005C3183"/>
    <w:rsid w:val="005D4DA4"/>
    <w:rsid w:val="005E2D56"/>
    <w:rsid w:val="005F134F"/>
    <w:rsid w:val="005F72BA"/>
    <w:rsid w:val="00610DC8"/>
    <w:rsid w:val="006312EF"/>
    <w:rsid w:val="0064035D"/>
    <w:rsid w:val="0064136A"/>
    <w:rsid w:val="0065237D"/>
    <w:rsid w:val="00656091"/>
    <w:rsid w:val="00692CE8"/>
    <w:rsid w:val="00694438"/>
    <w:rsid w:val="006A7389"/>
    <w:rsid w:val="006D51A7"/>
    <w:rsid w:val="006F507E"/>
    <w:rsid w:val="006F5829"/>
    <w:rsid w:val="0070780D"/>
    <w:rsid w:val="00716441"/>
    <w:rsid w:val="0076115A"/>
    <w:rsid w:val="00777F93"/>
    <w:rsid w:val="00785214"/>
    <w:rsid w:val="007C3B20"/>
    <w:rsid w:val="007C6A0C"/>
    <w:rsid w:val="007F2F3E"/>
    <w:rsid w:val="007F7A2F"/>
    <w:rsid w:val="00807F7C"/>
    <w:rsid w:val="00832787"/>
    <w:rsid w:val="0083371F"/>
    <w:rsid w:val="00835062"/>
    <w:rsid w:val="00836C92"/>
    <w:rsid w:val="008641C7"/>
    <w:rsid w:val="00870344"/>
    <w:rsid w:val="00874E21"/>
    <w:rsid w:val="00886F0F"/>
    <w:rsid w:val="00887E46"/>
    <w:rsid w:val="008A38FE"/>
    <w:rsid w:val="008D31A8"/>
    <w:rsid w:val="00902226"/>
    <w:rsid w:val="00904195"/>
    <w:rsid w:val="00920E6B"/>
    <w:rsid w:val="00923A06"/>
    <w:rsid w:val="00926FFE"/>
    <w:rsid w:val="00974FA0"/>
    <w:rsid w:val="00993AE4"/>
    <w:rsid w:val="009A4C0D"/>
    <w:rsid w:val="009B112B"/>
    <w:rsid w:val="009B130C"/>
    <w:rsid w:val="009B551A"/>
    <w:rsid w:val="009B7171"/>
    <w:rsid w:val="009B75F9"/>
    <w:rsid w:val="009D684B"/>
    <w:rsid w:val="009E0761"/>
    <w:rsid w:val="009E6BF4"/>
    <w:rsid w:val="009F18CE"/>
    <w:rsid w:val="009F24F7"/>
    <w:rsid w:val="009F36DC"/>
    <w:rsid w:val="00A03F85"/>
    <w:rsid w:val="00A05E4D"/>
    <w:rsid w:val="00A15C5A"/>
    <w:rsid w:val="00A31490"/>
    <w:rsid w:val="00A35F58"/>
    <w:rsid w:val="00A579FC"/>
    <w:rsid w:val="00A70074"/>
    <w:rsid w:val="00A70C88"/>
    <w:rsid w:val="00A8044C"/>
    <w:rsid w:val="00A90527"/>
    <w:rsid w:val="00AB0C65"/>
    <w:rsid w:val="00AB1CEB"/>
    <w:rsid w:val="00AC3937"/>
    <w:rsid w:val="00AE070D"/>
    <w:rsid w:val="00B00663"/>
    <w:rsid w:val="00B00988"/>
    <w:rsid w:val="00B22FB8"/>
    <w:rsid w:val="00B357A3"/>
    <w:rsid w:val="00B412A0"/>
    <w:rsid w:val="00B527EC"/>
    <w:rsid w:val="00B53C3B"/>
    <w:rsid w:val="00B56F4B"/>
    <w:rsid w:val="00B665AC"/>
    <w:rsid w:val="00B7376D"/>
    <w:rsid w:val="00B74D88"/>
    <w:rsid w:val="00B81FEF"/>
    <w:rsid w:val="00BF6328"/>
    <w:rsid w:val="00C067F6"/>
    <w:rsid w:val="00C15FA9"/>
    <w:rsid w:val="00C509C1"/>
    <w:rsid w:val="00C617BE"/>
    <w:rsid w:val="00C76727"/>
    <w:rsid w:val="00C90CB7"/>
    <w:rsid w:val="00CA392A"/>
    <w:rsid w:val="00CA578E"/>
    <w:rsid w:val="00CB4790"/>
    <w:rsid w:val="00CC1FF7"/>
    <w:rsid w:val="00CD0436"/>
    <w:rsid w:val="00CE7A37"/>
    <w:rsid w:val="00D13F71"/>
    <w:rsid w:val="00D27A41"/>
    <w:rsid w:val="00D60F01"/>
    <w:rsid w:val="00D94624"/>
    <w:rsid w:val="00DC204B"/>
    <w:rsid w:val="00DD0752"/>
    <w:rsid w:val="00DD3E3D"/>
    <w:rsid w:val="00DD78E1"/>
    <w:rsid w:val="00E13E2C"/>
    <w:rsid w:val="00E37A79"/>
    <w:rsid w:val="00E44466"/>
    <w:rsid w:val="00E81EB0"/>
    <w:rsid w:val="00E83D6D"/>
    <w:rsid w:val="00E97F92"/>
    <w:rsid w:val="00EA3203"/>
    <w:rsid w:val="00EB6FD5"/>
    <w:rsid w:val="00EC40F4"/>
    <w:rsid w:val="00EC41A1"/>
    <w:rsid w:val="00EF30D6"/>
    <w:rsid w:val="00EF6F68"/>
    <w:rsid w:val="00F149CB"/>
    <w:rsid w:val="00F14BE3"/>
    <w:rsid w:val="00F24700"/>
    <w:rsid w:val="00F410F6"/>
    <w:rsid w:val="00F54E04"/>
    <w:rsid w:val="00F63671"/>
    <w:rsid w:val="00F64383"/>
    <w:rsid w:val="00F81779"/>
    <w:rsid w:val="00F85A14"/>
    <w:rsid w:val="00F91C12"/>
    <w:rsid w:val="00F94048"/>
    <w:rsid w:val="00F955BD"/>
    <w:rsid w:val="00F9689B"/>
    <w:rsid w:val="00FC6FEC"/>
    <w:rsid w:val="00FE3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EC591"/>
  <w15:chartTrackingRefBased/>
  <w15:docId w15:val="{BBE5279A-A1FA-404C-ADCB-48159E60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TheSansOffice" w:hAnsi="TheSansOffice" w:cs="Arial"/>
      <w:sz w:val="24"/>
    </w:rPr>
  </w:style>
  <w:style w:type="paragraph" w:styleId="berschrift1">
    <w:name w:val="heading 1"/>
    <w:basedOn w:val="Standard"/>
    <w:next w:val="Standard"/>
    <w:autoRedefine/>
    <w:qFormat/>
    <w:rsid w:val="003A4DC2"/>
    <w:pPr>
      <w:keepNext/>
      <w:ind w:right="1657"/>
      <w:outlineLvl w:val="0"/>
    </w:pPr>
    <w:rPr>
      <w:b/>
      <w:bCs/>
      <w:szCs w:val="27"/>
    </w:rPr>
  </w:style>
  <w:style w:type="paragraph" w:styleId="berschrift2">
    <w:name w:val="heading 2"/>
    <w:basedOn w:val="Standard"/>
    <w:next w:val="Standard"/>
    <w:autoRedefine/>
    <w:qFormat/>
    <w:rsid w:val="003A4DC2"/>
    <w:pPr>
      <w:keepNext/>
      <w:ind w:left="851"/>
      <w:outlineLvl w:val="1"/>
    </w:pPr>
    <w:rPr>
      <w:b/>
      <w:bCs/>
    </w:rPr>
  </w:style>
  <w:style w:type="paragraph" w:styleId="berschrift3">
    <w:name w:val="heading 3"/>
    <w:basedOn w:val="Standard"/>
    <w:autoRedefine/>
    <w:qFormat/>
    <w:pPr>
      <w:spacing w:before="100" w:beforeAutospacing="1" w:after="100" w:afterAutospacing="1"/>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911"/>
      </w:tabs>
      <w:spacing w:after="60"/>
    </w:pPr>
    <w:rPr>
      <w:b/>
    </w:rPr>
  </w:style>
  <w:style w:type="paragraph" w:styleId="Verzeichnis1">
    <w:name w:val="toc 1"/>
    <w:basedOn w:val="Standard"/>
    <w:next w:val="Standard"/>
    <w:autoRedefine/>
    <w:semiHidden/>
    <w:pPr>
      <w:tabs>
        <w:tab w:val="right" w:leader="dot" w:pos="9911"/>
      </w:tabs>
      <w:spacing w:before="60"/>
    </w:pPr>
    <w:rPr>
      <w:b/>
      <w:bCs/>
      <w:noProof/>
      <w:sz w:val="28"/>
      <w:szCs w:val="28"/>
    </w:rPr>
  </w:style>
  <w:style w:type="paragraph" w:styleId="Verzeichnis3">
    <w:name w:val="toc 3"/>
    <w:basedOn w:val="Standard"/>
    <w:next w:val="Standard"/>
    <w:autoRedefine/>
    <w:semiHidden/>
  </w:style>
  <w:style w:type="paragraph" w:styleId="Fuzeile">
    <w:name w:val="footer"/>
    <w:basedOn w:val="Standard"/>
    <w:semiHidden/>
    <w:pPr>
      <w:tabs>
        <w:tab w:val="center" w:pos="4536"/>
        <w:tab w:val="right" w:pos="9072"/>
      </w:tabs>
    </w:pPr>
  </w:style>
  <w:style w:type="paragraph" w:styleId="Textkrper">
    <w:name w:val="Body Text"/>
    <w:basedOn w:val="Standard"/>
    <w:semiHidden/>
    <w:pPr>
      <w:widowControl/>
      <w:autoSpaceDE/>
      <w:autoSpaceDN/>
      <w:adjustRightInd/>
      <w:jc w:val="both"/>
    </w:pPr>
    <w:rPr>
      <w:rFonts w:ascii="Arial" w:hAnsi="Arial" w:cs="Times New Roman"/>
      <w:b/>
      <w:bCs/>
      <w:sz w:val="28"/>
    </w:rPr>
  </w:style>
  <w:style w:type="paragraph" w:styleId="Kopfzeile">
    <w:name w:val="header"/>
    <w:basedOn w:val="Standard"/>
    <w:autoRedefine/>
    <w:semiHidden/>
    <w:pPr>
      <w:spacing w:after="240"/>
      <w:jc w:val="center"/>
    </w:pPr>
  </w:style>
  <w:style w:type="character" w:styleId="Seitenzahl">
    <w:name w:val="page number"/>
    <w:semiHidden/>
    <w:rPr>
      <w:rFonts w:ascii="TheSansOffice" w:hAnsi="TheSansOffice"/>
      <w:color w:val="auto"/>
      <w:sz w:val="24"/>
    </w:rPr>
  </w:style>
  <w:style w:type="character" w:styleId="Hyperlink">
    <w:name w:val="Hyperlink"/>
    <w:semiHidden/>
    <w:rPr>
      <w:color w:val="0000FF"/>
      <w:u w:val="single"/>
    </w:rPr>
  </w:style>
  <w:style w:type="paragraph" w:styleId="Textkrper2">
    <w:name w:val="Body Text 2"/>
    <w:basedOn w:val="Standard"/>
    <w:semiHidden/>
    <w:pPr>
      <w:jc w:val="both"/>
    </w:pPr>
  </w:style>
  <w:style w:type="paragraph" w:styleId="Listenabsatz">
    <w:name w:val="List Paragraph"/>
    <w:basedOn w:val="Standard"/>
    <w:uiPriority w:val="34"/>
    <w:qFormat/>
    <w:rsid w:val="00870344"/>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6162">
      <w:bodyDiv w:val="1"/>
      <w:marLeft w:val="0"/>
      <w:marRight w:val="0"/>
      <w:marTop w:val="0"/>
      <w:marBottom w:val="0"/>
      <w:divBdr>
        <w:top w:val="none" w:sz="0" w:space="0" w:color="auto"/>
        <w:left w:val="none" w:sz="0" w:space="0" w:color="auto"/>
        <w:bottom w:val="none" w:sz="0" w:space="0" w:color="auto"/>
        <w:right w:val="none" w:sz="0" w:space="0" w:color="auto"/>
      </w:divBdr>
    </w:div>
    <w:div w:id="1045566739">
      <w:bodyDiv w:val="1"/>
      <w:marLeft w:val="0"/>
      <w:marRight w:val="0"/>
      <w:marTop w:val="0"/>
      <w:marBottom w:val="0"/>
      <w:divBdr>
        <w:top w:val="none" w:sz="0" w:space="0" w:color="auto"/>
        <w:left w:val="none" w:sz="0" w:space="0" w:color="auto"/>
        <w:bottom w:val="none" w:sz="0" w:space="0" w:color="auto"/>
        <w:right w:val="none" w:sz="0" w:space="0" w:color="auto"/>
      </w:divBdr>
    </w:div>
    <w:div w:id="17395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dbb.de" TargetMode="External"/><Relationship Id="rId2" Type="http://schemas.openxmlformats.org/officeDocument/2006/relationships/hyperlink" Target="mailto:bundesleitung@dbb.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enbornda\AppData\Local\Microsoft\Windows\Temporary%20Internet%20Files\Content.Outlook\MCNBEDBW\Info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Infovorlage.dot</Template>
  <TotalTime>0</TotalTime>
  <Pages>5</Pages>
  <Words>1569</Words>
  <Characters>11238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An die</vt:lpstr>
    </vt:vector>
  </TitlesOfParts>
  <Company>Deutscher Beamtenbund</Company>
  <LinksUpToDate>false</LinksUpToDate>
  <CharactersWithSpaces>12782</CharactersWithSpaces>
  <SharedDoc>false</SharedDoc>
  <HLinks>
    <vt:vector size="12" baseType="variant">
      <vt:variant>
        <vt:i4>6684793</vt:i4>
      </vt:variant>
      <vt:variant>
        <vt:i4>8</vt:i4>
      </vt:variant>
      <vt:variant>
        <vt:i4>0</vt:i4>
      </vt:variant>
      <vt:variant>
        <vt:i4>5</vt:i4>
      </vt:variant>
      <vt:variant>
        <vt:lpwstr>http://www.dbb.de/</vt:lpwstr>
      </vt:variant>
      <vt:variant>
        <vt:lpwstr/>
      </vt:variant>
      <vt:variant>
        <vt:i4>8257627</vt:i4>
      </vt:variant>
      <vt:variant>
        <vt:i4>5</vt:i4>
      </vt:variant>
      <vt:variant>
        <vt:i4>0</vt:i4>
      </vt:variant>
      <vt:variant>
        <vt:i4>5</vt:i4>
      </vt:variant>
      <vt:variant>
        <vt:lpwstr>mailto:bundesleitung@dbb.de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schoenbornda</dc:creator>
  <cp:keywords/>
  <cp:lastModifiedBy>Aljkanovic, Admira</cp:lastModifiedBy>
  <cp:revision>3</cp:revision>
  <cp:lastPrinted>2024-12-18T15:03:00Z</cp:lastPrinted>
  <dcterms:created xsi:type="dcterms:W3CDTF">2024-12-19T15:18:00Z</dcterms:created>
  <dcterms:modified xsi:type="dcterms:W3CDTF">2024-12-19T15:29:00Z</dcterms:modified>
</cp:coreProperties>
</file>